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8F6E54" w14:textId="77777777" w:rsidR="001939AD" w:rsidRPr="001939AD" w:rsidRDefault="001939AD" w:rsidP="00801EBE">
      <w:pPr>
        <w:pStyle w:val="BodyText"/>
        <w:spacing w:before="67" w:after="240"/>
      </w:pPr>
      <w:r w:rsidRPr="001939AD">
        <w:t>The San Diego River Conservancy (Conservancy) continues to work with and expand partnerships to implement projects in support of the Conservancy’s mission and statute. The Conservancy has 3</w:t>
      </w:r>
      <w:r w:rsidRPr="001939AD">
        <w:rPr>
          <w:spacing w:val="-1"/>
        </w:rPr>
        <w:t xml:space="preserve"> </w:t>
      </w:r>
      <w:r w:rsidRPr="001939AD">
        <w:t>full-time staff</w:t>
      </w:r>
      <w:r w:rsidRPr="001939AD">
        <w:rPr>
          <w:spacing w:val="-2"/>
        </w:rPr>
        <w:t xml:space="preserve"> </w:t>
      </w:r>
      <w:r w:rsidRPr="001939AD">
        <w:t xml:space="preserve">and 18 Governing Board members. The Conservancy’s mission is to conserve land, protect resources, and native habitat, improve water quality, support natural flood </w:t>
      </w:r>
      <w:proofErr w:type="gramStart"/>
      <w:r w:rsidRPr="001939AD">
        <w:t>conveyance</w:t>
      </w:r>
      <w:proofErr w:type="gramEnd"/>
      <w:r w:rsidRPr="001939AD">
        <w:rPr>
          <w:spacing w:val="-4"/>
        </w:rPr>
        <w:t xml:space="preserve"> </w:t>
      </w:r>
      <w:r w:rsidRPr="001939AD">
        <w:t>and</w:t>
      </w:r>
      <w:r w:rsidRPr="001939AD">
        <w:rPr>
          <w:spacing w:val="-2"/>
        </w:rPr>
        <w:t xml:space="preserve"> </w:t>
      </w:r>
      <w:r w:rsidRPr="001939AD">
        <w:t>provide</w:t>
      </w:r>
      <w:r w:rsidRPr="001939AD">
        <w:rPr>
          <w:spacing w:val="-2"/>
        </w:rPr>
        <w:t xml:space="preserve"> </w:t>
      </w:r>
      <w:r w:rsidRPr="001939AD">
        <w:t>public</w:t>
      </w:r>
      <w:r w:rsidRPr="001939AD">
        <w:rPr>
          <w:spacing w:val="-3"/>
        </w:rPr>
        <w:t xml:space="preserve"> </w:t>
      </w:r>
      <w:r w:rsidRPr="001939AD">
        <w:t>access</w:t>
      </w:r>
      <w:r w:rsidRPr="001939AD">
        <w:rPr>
          <w:spacing w:val="-5"/>
        </w:rPr>
        <w:t xml:space="preserve"> to </w:t>
      </w:r>
      <w:r w:rsidRPr="001939AD">
        <w:rPr>
          <w:spacing w:val="-2"/>
        </w:rPr>
        <w:t xml:space="preserve">outdoor recreation </w:t>
      </w:r>
      <w:r w:rsidRPr="001939AD">
        <w:rPr>
          <w:spacing w:val="-5"/>
        </w:rPr>
        <w:t>and educational opportunities</w:t>
      </w:r>
      <w:r w:rsidRPr="001939AD">
        <w:t>. We accomplish this mission by implementing various programs under the Conservancy’s strategic plan.</w:t>
      </w:r>
    </w:p>
    <w:p w14:paraId="12885AAB" w14:textId="77777777" w:rsidR="001939AD" w:rsidRPr="001939AD" w:rsidRDefault="001939AD" w:rsidP="00801EBE">
      <w:pPr>
        <w:pStyle w:val="Heading1"/>
        <w:jc w:val="center"/>
        <w:rPr>
          <w:rFonts w:cs="Arial"/>
          <w:sz w:val="24"/>
          <w:szCs w:val="24"/>
        </w:rPr>
      </w:pPr>
      <w:r w:rsidRPr="001939AD">
        <w:rPr>
          <w:rFonts w:cs="Arial"/>
          <w:sz w:val="24"/>
          <w:szCs w:val="24"/>
        </w:rPr>
        <w:t>SAN DIEGO RIVER CONSERVANCY’S STRATEGIC PLAN:</w:t>
      </w:r>
    </w:p>
    <w:p w14:paraId="140B16E9" w14:textId="77777777" w:rsidR="001939AD" w:rsidRPr="001939AD" w:rsidRDefault="001939AD" w:rsidP="00801EBE">
      <w:pPr>
        <w:pStyle w:val="Heading1"/>
        <w:spacing w:before="0" w:after="240"/>
        <w:jc w:val="center"/>
        <w:rPr>
          <w:rFonts w:cs="Arial"/>
          <w:sz w:val="24"/>
          <w:szCs w:val="24"/>
        </w:rPr>
      </w:pPr>
      <w:r w:rsidRPr="001939AD">
        <w:rPr>
          <w:rFonts w:cs="Arial"/>
          <w:sz w:val="24"/>
          <w:szCs w:val="24"/>
        </w:rPr>
        <w:t>PROGRAM SUMMARY</w:t>
      </w:r>
    </w:p>
    <w:p w14:paraId="087A9262" w14:textId="77777777" w:rsidR="001939AD" w:rsidRPr="001939AD" w:rsidRDefault="001939AD" w:rsidP="00801EBE">
      <w:pPr>
        <w:pStyle w:val="Heading2"/>
        <w:rPr>
          <w:rFonts w:cs="Arial"/>
          <w:szCs w:val="24"/>
        </w:rPr>
      </w:pPr>
      <w:r w:rsidRPr="001939AD">
        <w:rPr>
          <w:rFonts w:cs="Arial"/>
          <w:szCs w:val="24"/>
        </w:rPr>
        <w:t>Program 1: Conserve Land within the San Diego River Watershed</w:t>
      </w:r>
    </w:p>
    <w:p w14:paraId="614E73BF" w14:textId="77777777" w:rsidR="001939AD" w:rsidRPr="001939AD" w:rsidRDefault="001939AD" w:rsidP="00801EBE">
      <w:pPr>
        <w:pStyle w:val="Default"/>
        <w:spacing w:after="240"/>
        <w:rPr>
          <w:rFonts w:ascii="Arial" w:eastAsia="Arial Narrow" w:hAnsi="Arial" w:cs="Arial"/>
          <w:bCs/>
          <w:color w:val="auto"/>
          <w:spacing w:val="1"/>
        </w:rPr>
      </w:pPr>
      <w:r w:rsidRPr="001939AD">
        <w:rPr>
          <w:rFonts w:ascii="Arial" w:eastAsia="Arial Narrow" w:hAnsi="Arial" w:cs="Arial"/>
          <w:bCs/>
          <w:color w:val="auto"/>
          <w:spacing w:val="1"/>
        </w:rPr>
        <w:t xml:space="preserve">The Conservancy awarded $3.1 million to Mission Trails Regional Park Foundation to acquire approximately 110 acres of inholdings within the East Elliot area of Mission Trails Regional Park, located in the City of San Diego. The land will be conserved in perpetuity and provide multi-benefits including public access to open space, outdoor recreation, and </w:t>
      </w:r>
      <w:proofErr w:type="gramStart"/>
      <w:r w:rsidRPr="001939AD">
        <w:rPr>
          <w:rFonts w:ascii="Arial" w:eastAsia="Arial Narrow" w:hAnsi="Arial" w:cs="Arial"/>
          <w:bCs/>
          <w:color w:val="auto"/>
          <w:spacing w:val="1"/>
        </w:rPr>
        <w:t>protect</w:t>
      </w:r>
      <w:proofErr w:type="gramEnd"/>
      <w:r w:rsidRPr="001939AD">
        <w:rPr>
          <w:rFonts w:ascii="Arial" w:eastAsia="Arial Narrow" w:hAnsi="Arial" w:cs="Arial"/>
          <w:bCs/>
          <w:color w:val="auto"/>
          <w:spacing w:val="1"/>
        </w:rPr>
        <w:t xml:space="preserve"> wildlife corridors. This acquisition supports the State of California’s and Natural Resources Agency’s path to conserving 30% of California’s lands and coastal waters by 2030.</w:t>
      </w:r>
    </w:p>
    <w:p w14:paraId="19BB3E6E" w14:textId="77777777" w:rsidR="001939AD" w:rsidRPr="001939AD" w:rsidRDefault="001939AD" w:rsidP="00801EBE">
      <w:pPr>
        <w:pStyle w:val="Heading2"/>
        <w:rPr>
          <w:rFonts w:cs="Arial"/>
          <w:szCs w:val="24"/>
        </w:rPr>
      </w:pPr>
      <w:r w:rsidRPr="001939AD">
        <w:rPr>
          <w:rFonts w:cs="Arial"/>
          <w:szCs w:val="24"/>
        </w:rPr>
        <w:t>Program 2: Support and Encourage Recreation and Education</w:t>
      </w:r>
    </w:p>
    <w:p w14:paraId="3F56C5D9" w14:textId="77777777" w:rsidR="001939AD" w:rsidRPr="001939AD" w:rsidRDefault="001939AD" w:rsidP="00801EBE">
      <w:pPr>
        <w:pStyle w:val="Default"/>
        <w:spacing w:after="240"/>
        <w:rPr>
          <w:rFonts w:ascii="Arial" w:eastAsia="Arial Narrow" w:hAnsi="Arial" w:cs="Arial"/>
          <w:bCs/>
          <w:color w:val="auto"/>
          <w:spacing w:val="1"/>
        </w:rPr>
      </w:pPr>
      <w:r w:rsidRPr="001939AD">
        <w:rPr>
          <w:rFonts w:ascii="Arial" w:eastAsia="Arial Narrow" w:hAnsi="Arial" w:cs="Arial"/>
          <w:bCs/>
          <w:color w:val="auto"/>
          <w:spacing w:val="1"/>
        </w:rPr>
        <w:t>The Conservancy helps provide access to the outdoors including ADA accessibility, multi-lingual interpretive panels, informational kiosks, digital maps and educational engagement for various parks and open spaces. This program supports the Natural Resources Agency’s outdoor for all initiative.</w:t>
      </w:r>
    </w:p>
    <w:p w14:paraId="7EF0DF09" w14:textId="77777777" w:rsidR="001939AD" w:rsidRPr="001939AD" w:rsidRDefault="001939AD" w:rsidP="00801EBE">
      <w:pPr>
        <w:pStyle w:val="Heading3"/>
        <w:ind w:firstLine="720"/>
        <w:rPr>
          <w:rFonts w:eastAsia="Calibri" w:cs="Arial"/>
          <w:szCs w:val="24"/>
        </w:rPr>
      </w:pPr>
      <w:r w:rsidRPr="001939AD">
        <w:rPr>
          <w:rFonts w:eastAsia="Calibri" w:cs="Arial"/>
          <w:szCs w:val="24"/>
        </w:rPr>
        <w:t>Campo Band of Mission Indians</w:t>
      </w:r>
      <w:r w:rsidRPr="001939AD">
        <w:rPr>
          <w:rFonts w:eastAsia="Calibri" w:cs="Arial"/>
          <w:szCs w:val="24"/>
        </w:rPr>
        <w:tab/>
      </w:r>
    </w:p>
    <w:p w14:paraId="79A947DD" w14:textId="77777777" w:rsidR="001939AD" w:rsidRPr="001939AD" w:rsidRDefault="001939AD" w:rsidP="00801EBE">
      <w:pPr>
        <w:spacing w:after="240"/>
        <w:ind w:left="720"/>
        <w:rPr>
          <w:rFonts w:eastAsia="Calibri"/>
          <w:b/>
          <w:bCs/>
          <w:sz w:val="24"/>
          <w:szCs w:val="24"/>
        </w:rPr>
      </w:pPr>
      <w:r w:rsidRPr="001939AD">
        <w:rPr>
          <w:rFonts w:eastAsia="Calibri"/>
          <w:sz w:val="24"/>
          <w:szCs w:val="24"/>
        </w:rPr>
        <w:t xml:space="preserve">Ralph Goff Community Park improvements include a new self-contained, 2-unit prefabricated accessible vault restroom with potable water, erosion control measures and one shade structure for the playground. </w:t>
      </w:r>
    </w:p>
    <w:p w14:paraId="6E36E331" w14:textId="77777777" w:rsidR="001939AD" w:rsidRPr="001939AD" w:rsidRDefault="001939AD" w:rsidP="00801EBE">
      <w:pPr>
        <w:pStyle w:val="Heading3"/>
        <w:ind w:firstLine="720"/>
        <w:rPr>
          <w:rFonts w:eastAsia="Calibri" w:cs="Arial"/>
          <w:szCs w:val="24"/>
        </w:rPr>
      </w:pPr>
      <w:r w:rsidRPr="001939AD">
        <w:rPr>
          <w:rFonts w:eastAsia="Calibri" w:cs="Arial"/>
          <w:szCs w:val="24"/>
        </w:rPr>
        <w:t xml:space="preserve">Mission Trails Regional Park Foundation </w:t>
      </w:r>
    </w:p>
    <w:p w14:paraId="4AB6BD05" w14:textId="77777777" w:rsidR="001939AD" w:rsidRPr="001939AD" w:rsidRDefault="001939AD" w:rsidP="00801EBE">
      <w:pPr>
        <w:spacing w:after="240"/>
        <w:ind w:left="720"/>
        <w:rPr>
          <w:rFonts w:eastAsia="Calibri"/>
          <w:sz w:val="24"/>
          <w:szCs w:val="24"/>
        </w:rPr>
      </w:pPr>
      <w:r w:rsidRPr="001939AD">
        <w:rPr>
          <w:rFonts w:eastAsia="Calibri"/>
          <w:sz w:val="24"/>
          <w:szCs w:val="24"/>
        </w:rPr>
        <w:t xml:space="preserve">Install 50 multilingual interpretive panels throughout the Mission Trails Regional Park (MTRP). MTRP is one of the largest urban parks in the country consisting of 8,000 acres of natural and developed recreational areas. MTRP averages more than 2 million visitors annually. </w:t>
      </w:r>
    </w:p>
    <w:p w14:paraId="5F7E4A26" w14:textId="77777777" w:rsidR="001939AD" w:rsidRPr="001939AD" w:rsidRDefault="001939AD" w:rsidP="00801EBE">
      <w:pPr>
        <w:pStyle w:val="Heading3"/>
        <w:ind w:left="720"/>
        <w:rPr>
          <w:rFonts w:eastAsia="Calibri" w:cs="Arial"/>
          <w:szCs w:val="24"/>
        </w:rPr>
      </w:pPr>
      <w:r w:rsidRPr="001939AD">
        <w:rPr>
          <w:rFonts w:eastAsia="Calibri" w:cs="Arial"/>
          <w:szCs w:val="24"/>
        </w:rPr>
        <w:t xml:space="preserve">County of San Diego, Department of </w:t>
      </w:r>
      <w:proofErr w:type="gramStart"/>
      <w:r w:rsidRPr="001939AD">
        <w:rPr>
          <w:rFonts w:eastAsia="Calibri" w:cs="Arial"/>
          <w:szCs w:val="24"/>
        </w:rPr>
        <w:t>Parks</w:t>
      </w:r>
      <w:proofErr w:type="gramEnd"/>
      <w:r w:rsidRPr="001939AD">
        <w:rPr>
          <w:rFonts w:eastAsia="Calibri" w:cs="Arial"/>
          <w:szCs w:val="24"/>
        </w:rPr>
        <w:t xml:space="preserve"> and Recreation (County Parks) Cactus County Park &amp; Lindo Lake’s West Basin </w:t>
      </w:r>
    </w:p>
    <w:p w14:paraId="0AEF6BC6" w14:textId="77777777" w:rsidR="001939AD" w:rsidRPr="001939AD" w:rsidRDefault="001939AD" w:rsidP="00801EBE">
      <w:pPr>
        <w:spacing w:after="240"/>
        <w:ind w:left="720"/>
        <w:rPr>
          <w:rFonts w:eastAsia="Calibri"/>
          <w:sz w:val="24"/>
          <w:szCs w:val="24"/>
        </w:rPr>
      </w:pPr>
      <w:r w:rsidRPr="001939AD">
        <w:rPr>
          <w:rFonts w:eastAsia="Calibri"/>
          <w:sz w:val="24"/>
          <w:szCs w:val="24"/>
        </w:rPr>
        <w:t xml:space="preserve">Cactus Park improvements include one prefabricated restroom facility and upgrade three ballfields’ lights, poles, and fixtures in the </w:t>
      </w:r>
      <w:r w:rsidRPr="001939AD">
        <w:rPr>
          <w:bCs/>
          <w:sz w:val="24"/>
          <w:szCs w:val="24"/>
        </w:rPr>
        <w:t>low income and historically underfunded community of</w:t>
      </w:r>
      <w:r w:rsidRPr="001939AD">
        <w:rPr>
          <w:rFonts w:eastAsia="Calibri"/>
          <w:sz w:val="24"/>
          <w:szCs w:val="24"/>
        </w:rPr>
        <w:t xml:space="preserve"> Lakeside</w:t>
      </w:r>
      <w:r w:rsidRPr="001939AD">
        <w:rPr>
          <w:bCs/>
          <w:sz w:val="24"/>
          <w:szCs w:val="24"/>
        </w:rPr>
        <w:t>.</w:t>
      </w:r>
    </w:p>
    <w:p w14:paraId="1E0647D9" w14:textId="77777777" w:rsidR="001939AD" w:rsidRPr="001939AD" w:rsidRDefault="001939AD" w:rsidP="00801EBE">
      <w:pPr>
        <w:spacing w:after="240"/>
        <w:ind w:left="720"/>
        <w:rPr>
          <w:sz w:val="24"/>
          <w:szCs w:val="24"/>
        </w:rPr>
      </w:pPr>
      <w:r w:rsidRPr="001939AD">
        <w:rPr>
          <w:sz w:val="24"/>
          <w:szCs w:val="24"/>
        </w:rPr>
        <w:t xml:space="preserve">The Lindo Lake project will restore native habitat and improve accessibility. The </w:t>
      </w:r>
      <w:r w:rsidRPr="001939AD">
        <w:rPr>
          <w:sz w:val="24"/>
          <w:szCs w:val="24"/>
        </w:rPr>
        <w:lastRenderedPageBreak/>
        <w:t xml:space="preserve">County Park provides multi-use trails, picnic areas, skate park, and a playground. This grant will provide tree removal and relocation, installation of native landscape and cobble, install fishing pier, bird watching stations, site hardscapes to improve public facilities. </w:t>
      </w:r>
    </w:p>
    <w:p w14:paraId="71FF1D28" w14:textId="77777777" w:rsidR="001939AD" w:rsidRPr="001939AD" w:rsidRDefault="001939AD" w:rsidP="00801EBE">
      <w:pPr>
        <w:pStyle w:val="Heading3"/>
        <w:ind w:firstLine="720"/>
      </w:pPr>
      <w:r w:rsidRPr="001939AD">
        <w:rPr>
          <w:rStyle w:val="Heading3Char"/>
          <w:b/>
        </w:rPr>
        <w:t>Lakeside’s River Park Conservancy’s</w:t>
      </w:r>
      <w:r w:rsidRPr="001939AD">
        <w:t xml:space="preserve"> </w:t>
      </w:r>
    </w:p>
    <w:p w14:paraId="630E72C0" w14:textId="77777777" w:rsidR="001939AD" w:rsidRPr="001939AD" w:rsidRDefault="001939AD" w:rsidP="00801EBE">
      <w:pPr>
        <w:spacing w:after="240"/>
        <w:ind w:left="720"/>
        <w:rPr>
          <w:sz w:val="24"/>
          <w:szCs w:val="24"/>
        </w:rPr>
      </w:pPr>
      <w:r w:rsidRPr="001939AD">
        <w:rPr>
          <w:sz w:val="24"/>
          <w:szCs w:val="24"/>
        </w:rPr>
        <w:t xml:space="preserve">San Diego River Science Field Station will provide an indoor space to promote environmental science education and stewardship of the San Diego River. This living laboratory will be open to the public and is within walking distance to the San Diego River Trail.  In addition, the field station will provide direct access to the river’s riparian habitat and engage people in tactile learning experiences. Two collaborating school districts serve children from low income, disadvantaged </w:t>
      </w:r>
      <w:proofErr w:type="gramStart"/>
      <w:r w:rsidRPr="001939AD">
        <w:rPr>
          <w:sz w:val="24"/>
          <w:szCs w:val="24"/>
        </w:rPr>
        <w:t>neighborhoods</w:t>
      </w:r>
      <w:proofErr w:type="gramEnd"/>
      <w:r w:rsidRPr="001939AD">
        <w:rPr>
          <w:sz w:val="24"/>
          <w:szCs w:val="24"/>
        </w:rPr>
        <w:t xml:space="preserve"> and historically underfunded communities. </w:t>
      </w:r>
    </w:p>
    <w:p w14:paraId="3C552D41" w14:textId="77777777" w:rsidR="001939AD" w:rsidRPr="001939AD" w:rsidRDefault="001939AD" w:rsidP="00801EBE">
      <w:pPr>
        <w:pStyle w:val="Heading2"/>
        <w:rPr>
          <w:rFonts w:cs="Arial"/>
          <w:szCs w:val="24"/>
        </w:rPr>
      </w:pPr>
      <w:r w:rsidRPr="001939AD">
        <w:rPr>
          <w:rFonts w:cs="Arial"/>
          <w:szCs w:val="24"/>
        </w:rPr>
        <w:t>Program 3: Preserve and Restore Natural Resources</w:t>
      </w:r>
    </w:p>
    <w:p w14:paraId="2AB5F9F8" w14:textId="77777777" w:rsidR="001939AD" w:rsidRPr="001939AD" w:rsidRDefault="001939AD" w:rsidP="00801EBE">
      <w:pPr>
        <w:pStyle w:val="Default"/>
        <w:spacing w:after="240"/>
        <w:rPr>
          <w:rFonts w:ascii="Arial" w:eastAsia="Arial Narrow" w:hAnsi="Arial" w:cs="Arial"/>
          <w:bCs/>
          <w:color w:val="auto"/>
          <w:spacing w:val="1"/>
        </w:rPr>
      </w:pPr>
      <w:r w:rsidRPr="001939AD">
        <w:rPr>
          <w:rFonts w:ascii="Arial" w:eastAsia="Arial Narrow" w:hAnsi="Arial" w:cs="Arial"/>
          <w:bCs/>
          <w:color w:val="auto"/>
          <w:spacing w:val="1"/>
        </w:rPr>
        <w:t xml:space="preserve">This program supports the Natural Resources Agency’s path to protect biodiversity and build climate resiliency. </w:t>
      </w:r>
    </w:p>
    <w:p w14:paraId="22437364" w14:textId="77777777" w:rsidR="001939AD" w:rsidRPr="001939AD" w:rsidRDefault="001939AD" w:rsidP="00801EBE">
      <w:pPr>
        <w:pStyle w:val="Heading3"/>
        <w:ind w:firstLine="720"/>
        <w:rPr>
          <w:rFonts w:eastAsia="Calibri" w:cs="Arial"/>
          <w:szCs w:val="24"/>
        </w:rPr>
      </w:pPr>
      <w:r w:rsidRPr="001939AD">
        <w:rPr>
          <w:rFonts w:eastAsia="Calibri" w:cs="Arial"/>
          <w:szCs w:val="24"/>
        </w:rPr>
        <w:t xml:space="preserve">Invasive Non-native Plant Removal and Control Program </w:t>
      </w:r>
    </w:p>
    <w:p w14:paraId="10AE8412" w14:textId="77777777" w:rsidR="001939AD" w:rsidRPr="001939AD" w:rsidRDefault="001939AD" w:rsidP="00801EBE">
      <w:pPr>
        <w:spacing w:after="240"/>
        <w:ind w:left="720"/>
        <w:rPr>
          <w:bCs/>
          <w:sz w:val="24"/>
          <w:szCs w:val="24"/>
        </w:rPr>
      </w:pPr>
      <w:r w:rsidRPr="001939AD">
        <w:rPr>
          <w:bCs/>
          <w:sz w:val="24"/>
          <w:szCs w:val="24"/>
        </w:rPr>
        <w:t xml:space="preserve">The Conservancy and its partners have been implementing this invasive non-native plant control and revegetation program for 15 years. </w:t>
      </w:r>
      <w:r w:rsidRPr="001939AD">
        <w:rPr>
          <w:rFonts w:eastAsia="Arial Narrow"/>
          <w:spacing w:val="1"/>
          <w:sz w:val="24"/>
          <w:szCs w:val="24"/>
        </w:rPr>
        <w:t>This year, the Conservancy has fifteen active projects targetin</w:t>
      </w:r>
      <w:r w:rsidRPr="001939AD">
        <w:rPr>
          <w:bCs/>
          <w:sz w:val="24"/>
          <w:szCs w:val="24"/>
        </w:rPr>
        <w:t>g over 814 acres of habitat.</w:t>
      </w:r>
      <w:r w:rsidRPr="001939AD">
        <w:rPr>
          <w:rFonts w:eastAsia="Arial Narrow"/>
          <w:spacing w:val="1"/>
          <w:sz w:val="24"/>
          <w:szCs w:val="24"/>
        </w:rPr>
        <w:t xml:space="preserve"> These activities provide multi-benefits </w:t>
      </w:r>
      <w:r w:rsidRPr="001939AD">
        <w:rPr>
          <w:bCs/>
          <w:sz w:val="24"/>
          <w:szCs w:val="24"/>
        </w:rPr>
        <w:t xml:space="preserve">including weed abatement, flammable fuels reduction and reduce the risk and intensity of wildfires. </w:t>
      </w:r>
    </w:p>
    <w:p w14:paraId="120D579F" w14:textId="77777777" w:rsidR="001939AD" w:rsidRPr="001939AD" w:rsidRDefault="001939AD" w:rsidP="00801EBE">
      <w:pPr>
        <w:pStyle w:val="BodyText"/>
        <w:spacing w:before="1" w:after="240"/>
        <w:rPr>
          <w:spacing w:val="-5"/>
        </w:rPr>
      </w:pPr>
      <w:r w:rsidRPr="001939AD">
        <w:rPr>
          <w:spacing w:val="-5"/>
        </w:rPr>
        <w:t xml:space="preserve"> </w:t>
      </w:r>
      <w:r w:rsidRPr="001939AD">
        <w:rPr>
          <w:spacing w:val="-5"/>
        </w:rPr>
        <w:tab/>
        <w:t>Partnership agreements account for approximately 83 acres.</w:t>
      </w:r>
    </w:p>
    <w:p w14:paraId="24E72144" w14:textId="77777777" w:rsidR="001939AD" w:rsidRPr="001939AD" w:rsidRDefault="001939AD" w:rsidP="00801EBE">
      <w:pPr>
        <w:pStyle w:val="Heading4"/>
        <w:ind w:firstLine="720"/>
        <w:rPr>
          <w:rFonts w:cs="Arial"/>
          <w:i w:val="0"/>
          <w:iCs w:val="0"/>
          <w:szCs w:val="24"/>
        </w:rPr>
      </w:pPr>
      <w:r w:rsidRPr="001939AD">
        <w:rPr>
          <w:rFonts w:cs="Arial"/>
          <w:i w:val="0"/>
          <w:iCs w:val="0"/>
          <w:szCs w:val="24"/>
        </w:rPr>
        <w:t xml:space="preserve">Table 1.  Conservancy’s Current Partnership Agreements </w:t>
      </w:r>
    </w:p>
    <w:tbl>
      <w:tblPr>
        <w:tblW w:w="846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30"/>
        <w:gridCol w:w="5130"/>
      </w:tblGrid>
      <w:tr w:rsidR="001939AD" w:rsidRPr="001939AD" w14:paraId="0AD77C29" w14:textId="77777777" w:rsidTr="00E364A2">
        <w:trPr>
          <w:cantSplit/>
          <w:trHeight w:val="306"/>
          <w:tblHeader/>
        </w:trPr>
        <w:tc>
          <w:tcPr>
            <w:tcW w:w="3330" w:type="dxa"/>
            <w:shd w:val="clear" w:color="auto" w:fill="D9D9D9" w:themeFill="background1" w:themeFillShade="D9"/>
          </w:tcPr>
          <w:p w14:paraId="51F3F183" w14:textId="77777777" w:rsidR="001939AD" w:rsidRPr="001939AD" w:rsidRDefault="001939AD" w:rsidP="00801EBE">
            <w:pPr>
              <w:pStyle w:val="TableParagraph"/>
              <w:ind w:left="0"/>
              <w:rPr>
                <w:b/>
                <w:sz w:val="24"/>
                <w:szCs w:val="24"/>
              </w:rPr>
            </w:pPr>
            <w:r w:rsidRPr="001939AD">
              <w:rPr>
                <w:b/>
                <w:spacing w:val="-2"/>
                <w:sz w:val="24"/>
                <w:szCs w:val="24"/>
              </w:rPr>
              <w:t>Grantee</w:t>
            </w:r>
          </w:p>
        </w:tc>
        <w:tc>
          <w:tcPr>
            <w:tcW w:w="5130" w:type="dxa"/>
            <w:shd w:val="clear" w:color="auto" w:fill="D9D9D9" w:themeFill="background1" w:themeFillShade="D9"/>
          </w:tcPr>
          <w:p w14:paraId="16851731" w14:textId="77777777" w:rsidR="001939AD" w:rsidRPr="001939AD" w:rsidRDefault="001939AD" w:rsidP="00801EBE">
            <w:pPr>
              <w:pStyle w:val="TableParagraph"/>
              <w:ind w:left="0"/>
              <w:rPr>
                <w:b/>
                <w:sz w:val="24"/>
                <w:szCs w:val="24"/>
              </w:rPr>
            </w:pPr>
            <w:r w:rsidRPr="001939AD">
              <w:rPr>
                <w:b/>
                <w:sz w:val="24"/>
                <w:szCs w:val="24"/>
              </w:rPr>
              <w:t>Project</w:t>
            </w:r>
            <w:r w:rsidRPr="001939AD">
              <w:rPr>
                <w:b/>
                <w:spacing w:val="-4"/>
                <w:sz w:val="24"/>
                <w:szCs w:val="24"/>
              </w:rPr>
              <w:t xml:space="preserve"> </w:t>
            </w:r>
          </w:p>
        </w:tc>
      </w:tr>
      <w:tr w:rsidR="001939AD" w:rsidRPr="001939AD" w14:paraId="37DA2E32" w14:textId="77777777" w:rsidTr="00DA61A0">
        <w:trPr>
          <w:trHeight w:val="705"/>
        </w:trPr>
        <w:tc>
          <w:tcPr>
            <w:tcW w:w="3330" w:type="dxa"/>
          </w:tcPr>
          <w:p w14:paraId="07C2DDB5" w14:textId="77777777" w:rsidR="001939AD" w:rsidRPr="001939AD" w:rsidRDefault="001939AD" w:rsidP="00801EBE">
            <w:pPr>
              <w:pStyle w:val="TableParagraph"/>
              <w:spacing w:before="0" w:line="244" w:lineRule="auto"/>
              <w:ind w:left="0"/>
              <w:rPr>
                <w:b/>
                <w:sz w:val="24"/>
                <w:szCs w:val="24"/>
              </w:rPr>
            </w:pPr>
            <w:r w:rsidRPr="001939AD">
              <w:rPr>
                <w:sz w:val="24"/>
                <w:szCs w:val="24"/>
              </w:rPr>
              <w:t>San</w:t>
            </w:r>
            <w:r w:rsidRPr="001939AD">
              <w:rPr>
                <w:spacing w:val="-4"/>
                <w:sz w:val="24"/>
                <w:szCs w:val="24"/>
              </w:rPr>
              <w:t xml:space="preserve"> </w:t>
            </w:r>
            <w:r w:rsidRPr="001939AD">
              <w:rPr>
                <w:sz w:val="24"/>
                <w:szCs w:val="24"/>
              </w:rPr>
              <w:t>Diego</w:t>
            </w:r>
            <w:r w:rsidRPr="001939AD">
              <w:rPr>
                <w:spacing w:val="-4"/>
                <w:sz w:val="24"/>
                <w:szCs w:val="24"/>
              </w:rPr>
              <w:t xml:space="preserve"> </w:t>
            </w:r>
            <w:r w:rsidRPr="001939AD">
              <w:rPr>
                <w:spacing w:val="-2"/>
                <w:sz w:val="24"/>
                <w:szCs w:val="24"/>
              </w:rPr>
              <w:t>Canyonlands</w:t>
            </w:r>
          </w:p>
        </w:tc>
        <w:tc>
          <w:tcPr>
            <w:tcW w:w="5130" w:type="dxa"/>
          </w:tcPr>
          <w:p w14:paraId="59C00DB1" w14:textId="77777777" w:rsidR="001939AD" w:rsidRPr="001939AD" w:rsidRDefault="001939AD" w:rsidP="00801EBE">
            <w:pPr>
              <w:pStyle w:val="TableParagraph"/>
              <w:spacing w:before="0" w:line="244" w:lineRule="auto"/>
              <w:ind w:left="0"/>
              <w:rPr>
                <w:bCs/>
                <w:sz w:val="24"/>
                <w:szCs w:val="24"/>
              </w:rPr>
            </w:pPr>
            <w:r w:rsidRPr="001939AD">
              <w:rPr>
                <w:bCs/>
                <w:sz w:val="24"/>
                <w:szCs w:val="24"/>
              </w:rPr>
              <w:t xml:space="preserve">79.5 acres in </w:t>
            </w:r>
            <w:proofErr w:type="spellStart"/>
            <w:r w:rsidRPr="001939AD">
              <w:rPr>
                <w:bCs/>
                <w:sz w:val="24"/>
                <w:szCs w:val="24"/>
              </w:rPr>
              <w:t>Tierrasanta</w:t>
            </w:r>
            <w:proofErr w:type="spellEnd"/>
            <w:r w:rsidRPr="001939AD">
              <w:rPr>
                <w:bCs/>
                <w:sz w:val="24"/>
                <w:szCs w:val="24"/>
              </w:rPr>
              <w:t xml:space="preserve"> Open Space/Brush Management Zone, </w:t>
            </w:r>
            <w:proofErr w:type="gramStart"/>
            <w:r w:rsidRPr="001939AD">
              <w:rPr>
                <w:bCs/>
                <w:sz w:val="24"/>
                <w:szCs w:val="24"/>
              </w:rPr>
              <w:t>Ruffin</w:t>
            </w:r>
            <w:proofErr w:type="gramEnd"/>
            <w:r w:rsidRPr="001939AD">
              <w:rPr>
                <w:bCs/>
                <w:spacing w:val="-11"/>
                <w:sz w:val="24"/>
                <w:szCs w:val="24"/>
              </w:rPr>
              <w:t xml:space="preserve"> </w:t>
            </w:r>
            <w:r w:rsidRPr="001939AD">
              <w:rPr>
                <w:bCs/>
                <w:sz w:val="24"/>
                <w:szCs w:val="24"/>
              </w:rPr>
              <w:t>and</w:t>
            </w:r>
            <w:r w:rsidRPr="001939AD">
              <w:rPr>
                <w:bCs/>
                <w:spacing w:val="-9"/>
                <w:sz w:val="24"/>
                <w:szCs w:val="24"/>
              </w:rPr>
              <w:t xml:space="preserve"> </w:t>
            </w:r>
            <w:r w:rsidRPr="001939AD">
              <w:rPr>
                <w:bCs/>
                <w:sz w:val="24"/>
                <w:szCs w:val="24"/>
              </w:rPr>
              <w:t>Sandrock</w:t>
            </w:r>
            <w:r w:rsidRPr="001939AD">
              <w:rPr>
                <w:bCs/>
                <w:spacing w:val="-8"/>
                <w:sz w:val="24"/>
                <w:szCs w:val="24"/>
              </w:rPr>
              <w:t xml:space="preserve"> </w:t>
            </w:r>
            <w:r w:rsidRPr="001939AD">
              <w:rPr>
                <w:bCs/>
                <w:sz w:val="24"/>
                <w:szCs w:val="24"/>
              </w:rPr>
              <w:t>Canyon</w:t>
            </w:r>
            <w:r w:rsidRPr="001939AD">
              <w:rPr>
                <w:bCs/>
                <w:spacing w:val="-9"/>
                <w:sz w:val="24"/>
                <w:szCs w:val="24"/>
              </w:rPr>
              <w:t xml:space="preserve"> </w:t>
            </w:r>
            <w:r w:rsidRPr="001939AD">
              <w:rPr>
                <w:bCs/>
                <w:sz w:val="24"/>
                <w:szCs w:val="24"/>
              </w:rPr>
              <w:t xml:space="preserve">Phases 1 and 2 </w:t>
            </w:r>
          </w:p>
        </w:tc>
      </w:tr>
      <w:tr w:rsidR="001939AD" w:rsidRPr="001939AD" w14:paraId="5883E248" w14:textId="77777777" w:rsidTr="00DA61A0">
        <w:trPr>
          <w:trHeight w:val="540"/>
        </w:trPr>
        <w:tc>
          <w:tcPr>
            <w:tcW w:w="3330" w:type="dxa"/>
          </w:tcPr>
          <w:p w14:paraId="482B0769" w14:textId="77777777" w:rsidR="001939AD" w:rsidRPr="001939AD" w:rsidRDefault="001939AD" w:rsidP="00801EBE">
            <w:pPr>
              <w:pStyle w:val="TableParagraph"/>
              <w:spacing w:before="0"/>
              <w:ind w:left="0"/>
              <w:rPr>
                <w:sz w:val="24"/>
                <w:szCs w:val="24"/>
              </w:rPr>
            </w:pPr>
            <w:r w:rsidRPr="001939AD">
              <w:rPr>
                <w:sz w:val="24"/>
                <w:szCs w:val="24"/>
              </w:rPr>
              <w:t>The San Diego River Park Foundation</w:t>
            </w:r>
          </w:p>
        </w:tc>
        <w:tc>
          <w:tcPr>
            <w:tcW w:w="5130" w:type="dxa"/>
          </w:tcPr>
          <w:p w14:paraId="35C8196B" w14:textId="77777777" w:rsidR="001939AD" w:rsidRPr="001939AD" w:rsidRDefault="001939AD" w:rsidP="00801EBE">
            <w:pPr>
              <w:pStyle w:val="TableParagraph"/>
              <w:spacing w:before="0"/>
              <w:ind w:left="0"/>
              <w:rPr>
                <w:bCs/>
                <w:sz w:val="24"/>
                <w:szCs w:val="24"/>
              </w:rPr>
            </w:pPr>
            <w:r w:rsidRPr="001939AD">
              <w:rPr>
                <w:bCs/>
                <w:sz w:val="24"/>
                <w:szCs w:val="24"/>
              </w:rPr>
              <w:t xml:space="preserve">0.5 acres in Mission Valley, Fashion </w:t>
            </w:r>
            <w:proofErr w:type="gramStart"/>
            <w:r w:rsidRPr="001939AD">
              <w:rPr>
                <w:bCs/>
                <w:sz w:val="24"/>
                <w:szCs w:val="24"/>
              </w:rPr>
              <w:t>Valley</w:t>
            </w:r>
            <w:proofErr w:type="gramEnd"/>
            <w:r w:rsidRPr="001939AD">
              <w:rPr>
                <w:bCs/>
                <w:sz w:val="24"/>
                <w:szCs w:val="24"/>
              </w:rPr>
              <w:t xml:space="preserve"> and El Capitan Reservoir </w:t>
            </w:r>
          </w:p>
        </w:tc>
      </w:tr>
      <w:tr w:rsidR="001939AD" w:rsidRPr="001939AD" w14:paraId="2E07A82A" w14:textId="77777777" w:rsidTr="00DA61A0">
        <w:trPr>
          <w:trHeight w:val="705"/>
        </w:trPr>
        <w:tc>
          <w:tcPr>
            <w:tcW w:w="3330" w:type="dxa"/>
          </w:tcPr>
          <w:p w14:paraId="568CB7C6" w14:textId="77777777" w:rsidR="001939AD" w:rsidRPr="001939AD" w:rsidRDefault="001939AD" w:rsidP="00801EBE">
            <w:pPr>
              <w:pStyle w:val="TableParagraph"/>
              <w:spacing w:before="0"/>
              <w:ind w:left="0"/>
              <w:rPr>
                <w:b/>
                <w:sz w:val="24"/>
                <w:szCs w:val="24"/>
              </w:rPr>
            </w:pPr>
            <w:r w:rsidRPr="001939AD">
              <w:rPr>
                <w:sz w:val="24"/>
                <w:szCs w:val="24"/>
              </w:rPr>
              <w:t>City</w:t>
            </w:r>
            <w:r w:rsidRPr="001939AD">
              <w:rPr>
                <w:spacing w:val="-8"/>
                <w:sz w:val="24"/>
                <w:szCs w:val="24"/>
              </w:rPr>
              <w:t xml:space="preserve"> </w:t>
            </w:r>
            <w:r w:rsidRPr="001939AD">
              <w:rPr>
                <w:sz w:val="24"/>
                <w:szCs w:val="24"/>
              </w:rPr>
              <w:t>of</w:t>
            </w:r>
            <w:r w:rsidRPr="001939AD">
              <w:rPr>
                <w:spacing w:val="-8"/>
                <w:sz w:val="24"/>
                <w:szCs w:val="24"/>
              </w:rPr>
              <w:t xml:space="preserve"> </w:t>
            </w:r>
            <w:r w:rsidRPr="001939AD">
              <w:rPr>
                <w:sz w:val="24"/>
                <w:szCs w:val="24"/>
              </w:rPr>
              <w:t>San</w:t>
            </w:r>
            <w:r w:rsidRPr="001939AD">
              <w:rPr>
                <w:spacing w:val="-8"/>
                <w:sz w:val="24"/>
                <w:szCs w:val="24"/>
              </w:rPr>
              <w:t xml:space="preserve"> </w:t>
            </w:r>
            <w:r w:rsidRPr="001939AD">
              <w:rPr>
                <w:sz w:val="24"/>
                <w:szCs w:val="24"/>
              </w:rPr>
              <w:t>Diego,</w:t>
            </w:r>
            <w:r w:rsidRPr="001939AD">
              <w:rPr>
                <w:spacing w:val="-8"/>
                <w:sz w:val="24"/>
                <w:szCs w:val="24"/>
              </w:rPr>
              <w:t xml:space="preserve"> </w:t>
            </w:r>
            <w:r w:rsidRPr="001939AD">
              <w:rPr>
                <w:sz w:val="24"/>
                <w:szCs w:val="24"/>
              </w:rPr>
              <w:t>Public</w:t>
            </w:r>
            <w:r w:rsidRPr="001939AD">
              <w:rPr>
                <w:spacing w:val="-8"/>
                <w:sz w:val="24"/>
                <w:szCs w:val="24"/>
              </w:rPr>
              <w:t xml:space="preserve"> </w:t>
            </w:r>
            <w:r w:rsidRPr="001939AD">
              <w:rPr>
                <w:sz w:val="24"/>
                <w:szCs w:val="24"/>
              </w:rPr>
              <w:t xml:space="preserve">Utilities </w:t>
            </w:r>
            <w:r w:rsidRPr="001939AD">
              <w:rPr>
                <w:spacing w:val="-2"/>
                <w:sz w:val="24"/>
                <w:szCs w:val="24"/>
              </w:rPr>
              <w:t>Department</w:t>
            </w:r>
          </w:p>
        </w:tc>
        <w:tc>
          <w:tcPr>
            <w:tcW w:w="5130" w:type="dxa"/>
          </w:tcPr>
          <w:p w14:paraId="6F731C0A" w14:textId="77777777" w:rsidR="001939AD" w:rsidRPr="001939AD" w:rsidRDefault="001939AD" w:rsidP="00801EBE">
            <w:pPr>
              <w:pStyle w:val="TableParagraph"/>
              <w:spacing w:before="0"/>
              <w:ind w:left="0"/>
              <w:rPr>
                <w:bCs/>
                <w:sz w:val="24"/>
                <w:szCs w:val="24"/>
              </w:rPr>
            </w:pPr>
            <w:r w:rsidRPr="001939AD">
              <w:rPr>
                <w:bCs/>
                <w:sz w:val="24"/>
                <w:szCs w:val="24"/>
              </w:rPr>
              <w:t xml:space="preserve">2.5 acres restoration in the </w:t>
            </w:r>
            <w:r w:rsidRPr="001939AD">
              <w:rPr>
                <w:bCs/>
                <w:spacing w:val="-4"/>
                <w:sz w:val="24"/>
                <w:szCs w:val="24"/>
              </w:rPr>
              <w:t>h</w:t>
            </w:r>
            <w:r w:rsidRPr="001939AD">
              <w:rPr>
                <w:bCs/>
                <w:spacing w:val="-2"/>
                <w:sz w:val="24"/>
                <w:szCs w:val="24"/>
              </w:rPr>
              <w:t xml:space="preserve">eadwaters of the San Diego River watershed </w:t>
            </w:r>
            <w:r w:rsidRPr="001939AD">
              <w:rPr>
                <w:bCs/>
                <w:spacing w:val="-9"/>
                <w:sz w:val="24"/>
                <w:szCs w:val="24"/>
              </w:rPr>
              <w:t xml:space="preserve">at </w:t>
            </w:r>
            <w:r w:rsidRPr="001939AD">
              <w:rPr>
                <w:bCs/>
                <w:sz w:val="24"/>
                <w:szCs w:val="24"/>
              </w:rPr>
              <w:t>El</w:t>
            </w:r>
            <w:r w:rsidRPr="001939AD">
              <w:rPr>
                <w:bCs/>
                <w:spacing w:val="-11"/>
                <w:sz w:val="24"/>
                <w:szCs w:val="24"/>
              </w:rPr>
              <w:t xml:space="preserve"> </w:t>
            </w:r>
            <w:r w:rsidRPr="001939AD">
              <w:rPr>
                <w:bCs/>
                <w:sz w:val="24"/>
                <w:szCs w:val="24"/>
              </w:rPr>
              <w:t>Capitan</w:t>
            </w:r>
            <w:r w:rsidRPr="001939AD">
              <w:rPr>
                <w:bCs/>
                <w:spacing w:val="-8"/>
                <w:sz w:val="24"/>
                <w:szCs w:val="24"/>
              </w:rPr>
              <w:t xml:space="preserve"> </w:t>
            </w:r>
            <w:r w:rsidRPr="001939AD">
              <w:rPr>
                <w:bCs/>
                <w:sz w:val="24"/>
                <w:szCs w:val="24"/>
              </w:rPr>
              <w:t xml:space="preserve">Reservoir </w:t>
            </w:r>
          </w:p>
        </w:tc>
      </w:tr>
    </w:tbl>
    <w:p w14:paraId="76CB28E6" w14:textId="77777777" w:rsidR="001939AD" w:rsidRPr="001939AD" w:rsidRDefault="001939AD" w:rsidP="00801EBE">
      <w:pPr>
        <w:pStyle w:val="Heading3"/>
        <w:spacing w:before="240"/>
        <w:ind w:firstLine="720"/>
        <w:rPr>
          <w:rFonts w:eastAsia="Calibri" w:cs="Arial"/>
          <w:szCs w:val="24"/>
        </w:rPr>
      </w:pPr>
      <w:r w:rsidRPr="001939AD">
        <w:rPr>
          <w:rFonts w:eastAsia="Calibri" w:cs="Arial"/>
          <w:szCs w:val="24"/>
        </w:rPr>
        <w:t>Wildfire and Forest Resilience</w:t>
      </w:r>
    </w:p>
    <w:p w14:paraId="6AECF0FE" w14:textId="77777777" w:rsidR="001939AD" w:rsidRPr="001939AD" w:rsidRDefault="001939AD" w:rsidP="00801EBE">
      <w:pPr>
        <w:spacing w:after="240"/>
        <w:ind w:left="720"/>
        <w:rPr>
          <w:sz w:val="24"/>
          <w:szCs w:val="24"/>
        </w:rPr>
      </w:pPr>
      <w:r w:rsidRPr="001939AD">
        <w:rPr>
          <w:bCs/>
          <w:iCs/>
          <w:sz w:val="24"/>
          <w:szCs w:val="24"/>
        </w:rPr>
        <w:t xml:space="preserve">The Governing Board of the Conservancy has approved 34 projects totaling over $35 million to help reduce the risk and intensity of wildfires in the County of San Diego. </w:t>
      </w:r>
      <w:r w:rsidRPr="001939AD">
        <w:rPr>
          <w:sz w:val="24"/>
          <w:szCs w:val="24"/>
        </w:rPr>
        <w:t xml:space="preserve">The tables below list wildfire and forest reliance projects approved by the Conservancy Board. </w:t>
      </w:r>
    </w:p>
    <w:p w14:paraId="1EE640C7" w14:textId="77777777" w:rsidR="001939AD" w:rsidRPr="001939AD" w:rsidRDefault="001939AD" w:rsidP="00801EBE">
      <w:pPr>
        <w:pStyle w:val="BodyText"/>
        <w:spacing w:before="1" w:after="240"/>
      </w:pPr>
      <w:r w:rsidRPr="001939AD">
        <w:t>Grants to Tribal Governments and organizations total amount awarded is</w:t>
      </w:r>
      <w:r w:rsidRPr="001939AD">
        <w:rPr>
          <w:rFonts w:eastAsia="Arial Narrow"/>
          <w:iCs/>
          <w:w w:val="102"/>
          <w:u w:color="000000"/>
        </w:rPr>
        <w:t xml:space="preserve"> $2.8 million</w:t>
      </w:r>
      <w:r w:rsidRPr="001939AD">
        <w:t xml:space="preserve">. </w:t>
      </w:r>
    </w:p>
    <w:p w14:paraId="024FD98E" w14:textId="77777777" w:rsidR="001939AD" w:rsidRPr="001939AD" w:rsidRDefault="001939AD" w:rsidP="00801EBE">
      <w:pPr>
        <w:pStyle w:val="Heading4"/>
        <w:ind w:firstLine="720"/>
        <w:rPr>
          <w:rFonts w:cs="Arial"/>
          <w:szCs w:val="24"/>
        </w:rPr>
      </w:pPr>
      <w:r w:rsidRPr="001939AD">
        <w:rPr>
          <w:rFonts w:cs="Arial"/>
          <w:i w:val="0"/>
          <w:iCs w:val="0"/>
          <w:szCs w:val="24"/>
        </w:rPr>
        <w:lastRenderedPageBreak/>
        <w:t>Table 2.  Project with Various Bands within the Kumeyaay Nation</w:t>
      </w:r>
    </w:p>
    <w:tbl>
      <w:tblPr>
        <w:tblStyle w:val="TableGrid"/>
        <w:tblW w:w="0" w:type="auto"/>
        <w:tblLook w:val="04A0" w:firstRow="1" w:lastRow="0" w:firstColumn="1" w:lastColumn="0" w:noHBand="0" w:noVBand="1"/>
      </w:tblPr>
      <w:tblGrid>
        <w:gridCol w:w="3325"/>
        <w:gridCol w:w="6025"/>
      </w:tblGrid>
      <w:tr w:rsidR="001939AD" w:rsidRPr="001939AD" w14:paraId="584FCCFB" w14:textId="77777777" w:rsidTr="00E364A2">
        <w:trPr>
          <w:cantSplit/>
          <w:tblHeader/>
        </w:trPr>
        <w:tc>
          <w:tcPr>
            <w:tcW w:w="3325" w:type="dxa"/>
            <w:shd w:val="clear" w:color="auto" w:fill="BFBFBF" w:themeFill="background1" w:themeFillShade="BF"/>
          </w:tcPr>
          <w:p w14:paraId="4C59C619" w14:textId="77777777" w:rsidR="001939AD" w:rsidRPr="001939AD" w:rsidRDefault="001939AD" w:rsidP="00801EBE">
            <w:pPr>
              <w:pStyle w:val="BodyText"/>
              <w:spacing w:before="1"/>
            </w:pPr>
            <w:bookmarkStart w:id="0" w:name="_Hlk164775348"/>
            <w:r w:rsidRPr="001939AD">
              <w:rPr>
                <w:b/>
                <w:iCs/>
              </w:rPr>
              <w:t>Grantee</w:t>
            </w:r>
          </w:p>
        </w:tc>
        <w:tc>
          <w:tcPr>
            <w:tcW w:w="6025" w:type="dxa"/>
            <w:shd w:val="clear" w:color="auto" w:fill="BFBFBF" w:themeFill="background1" w:themeFillShade="BF"/>
          </w:tcPr>
          <w:p w14:paraId="2B1178B0" w14:textId="77777777" w:rsidR="001939AD" w:rsidRPr="001939AD" w:rsidRDefault="001939AD" w:rsidP="00801EBE">
            <w:pPr>
              <w:pStyle w:val="BodyText"/>
              <w:spacing w:before="1"/>
            </w:pPr>
            <w:r w:rsidRPr="001939AD">
              <w:rPr>
                <w:b/>
                <w:iCs/>
              </w:rPr>
              <w:t>Project Description</w:t>
            </w:r>
          </w:p>
        </w:tc>
      </w:tr>
      <w:tr w:rsidR="001939AD" w:rsidRPr="001939AD" w14:paraId="730FCB8B" w14:textId="77777777" w:rsidTr="00DA61A0">
        <w:tc>
          <w:tcPr>
            <w:tcW w:w="3325" w:type="dxa"/>
          </w:tcPr>
          <w:p w14:paraId="0877993F" w14:textId="77777777" w:rsidR="001939AD" w:rsidRPr="001939AD" w:rsidRDefault="001939AD" w:rsidP="00801EBE">
            <w:pPr>
              <w:pStyle w:val="BodyText"/>
              <w:spacing w:before="1"/>
              <w:rPr>
                <w:bCs/>
                <w:iCs/>
              </w:rPr>
            </w:pPr>
            <w:r w:rsidRPr="001939AD">
              <w:rPr>
                <w:bCs/>
                <w:iCs/>
              </w:rPr>
              <w:t>Viejas Band of Kumeyaay Indians</w:t>
            </w:r>
          </w:p>
          <w:p w14:paraId="6F3EB41D" w14:textId="77777777" w:rsidR="001939AD" w:rsidRPr="001939AD" w:rsidRDefault="001939AD" w:rsidP="00801EBE">
            <w:pPr>
              <w:pStyle w:val="BodyText"/>
              <w:spacing w:before="1"/>
            </w:pPr>
            <w:r w:rsidRPr="001939AD">
              <w:t>$983,911</w:t>
            </w:r>
          </w:p>
        </w:tc>
        <w:tc>
          <w:tcPr>
            <w:tcW w:w="6025" w:type="dxa"/>
          </w:tcPr>
          <w:p w14:paraId="5390BF82" w14:textId="77777777" w:rsidR="001939AD" w:rsidRPr="001939AD" w:rsidRDefault="001939AD" w:rsidP="00801EBE">
            <w:pPr>
              <w:pStyle w:val="BodyText"/>
              <w:spacing w:before="1"/>
            </w:pPr>
            <w:r w:rsidRPr="001939AD">
              <w:rPr>
                <w:bCs/>
                <w:iCs/>
              </w:rPr>
              <w:t xml:space="preserve">Procure one new Type 3 fire engine with </w:t>
            </w:r>
            <w:proofErr w:type="gramStart"/>
            <w:r w:rsidRPr="001939AD">
              <w:rPr>
                <w:bCs/>
                <w:iCs/>
              </w:rPr>
              <w:t>500</w:t>
            </w:r>
            <w:proofErr w:type="gramEnd"/>
            <w:r w:rsidRPr="001939AD">
              <w:rPr>
                <w:bCs/>
                <w:iCs/>
              </w:rPr>
              <w:t xml:space="preserve">-gallon water tank, firefighting </w:t>
            </w:r>
            <w:proofErr w:type="gramStart"/>
            <w:r w:rsidRPr="001939AD">
              <w:rPr>
                <w:bCs/>
                <w:iCs/>
              </w:rPr>
              <w:t>equipment</w:t>
            </w:r>
            <w:proofErr w:type="gramEnd"/>
            <w:r w:rsidRPr="001939AD">
              <w:rPr>
                <w:bCs/>
                <w:iCs/>
              </w:rPr>
              <w:t xml:space="preserve"> and personal protective gear. </w:t>
            </w:r>
          </w:p>
        </w:tc>
      </w:tr>
      <w:tr w:rsidR="001939AD" w:rsidRPr="001939AD" w14:paraId="61EF9E4F" w14:textId="77777777" w:rsidTr="00DA61A0">
        <w:tc>
          <w:tcPr>
            <w:tcW w:w="3325" w:type="dxa"/>
          </w:tcPr>
          <w:p w14:paraId="40009439" w14:textId="77777777" w:rsidR="001939AD" w:rsidRPr="001939AD" w:rsidRDefault="001939AD" w:rsidP="00801EBE">
            <w:pPr>
              <w:pStyle w:val="ListParagraph"/>
              <w:widowControl/>
              <w:autoSpaceDE/>
              <w:autoSpaceDN/>
              <w:ind w:left="0"/>
              <w:rPr>
                <w:bCs/>
                <w:iCs/>
                <w:sz w:val="24"/>
                <w:szCs w:val="24"/>
              </w:rPr>
            </w:pPr>
            <w:r w:rsidRPr="001939AD">
              <w:rPr>
                <w:bCs/>
                <w:iCs/>
                <w:sz w:val="24"/>
                <w:szCs w:val="24"/>
              </w:rPr>
              <w:t xml:space="preserve">Kumeyaay Diegueño Land Conservancy </w:t>
            </w:r>
          </w:p>
          <w:p w14:paraId="71432AF1" w14:textId="77777777" w:rsidR="001939AD" w:rsidRPr="001939AD" w:rsidRDefault="001939AD" w:rsidP="00801EBE">
            <w:pPr>
              <w:pStyle w:val="BodyText"/>
              <w:spacing w:before="1"/>
            </w:pPr>
            <w:r w:rsidRPr="001939AD">
              <w:t>$800,000</w:t>
            </w:r>
          </w:p>
        </w:tc>
        <w:tc>
          <w:tcPr>
            <w:tcW w:w="6025" w:type="dxa"/>
          </w:tcPr>
          <w:p w14:paraId="38D35065" w14:textId="77777777" w:rsidR="001939AD" w:rsidRPr="001939AD" w:rsidRDefault="001939AD" w:rsidP="00801EBE">
            <w:pPr>
              <w:pStyle w:val="BodyText"/>
              <w:spacing w:before="1"/>
              <w:rPr>
                <w:bCs/>
                <w:iCs/>
              </w:rPr>
            </w:pPr>
            <w:r w:rsidRPr="001939AD">
              <w:rPr>
                <w:bCs/>
                <w:iCs/>
              </w:rPr>
              <w:t>Procure fire-related vehicles and equipment, such as a skid steer with masticator to reduce flammable fuel loads and for use during wildfire events.</w:t>
            </w:r>
          </w:p>
          <w:p w14:paraId="1DBFFB73" w14:textId="77777777" w:rsidR="001939AD" w:rsidRPr="001939AD" w:rsidRDefault="001939AD" w:rsidP="00801EBE">
            <w:pPr>
              <w:pStyle w:val="BodyText"/>
              <w:spacing w:before="1"/>
              <w:rPr>
                <w:bCs/>
                <w:iCs/>
              </w:rPr>
            </w:pPr>
            <w:r w:rsidRPr="001939AD">
              <w:rPr>
                <w:bCs/>
                <w:iCs/>
              </w:rPr>
              <w:t>Partners include:</w:t>
            </w:r>
          </w:p>
          <w:p w14:paraId="691E2C90" w14:textId="77777777" w:rsidR="001939AD" w:rsidRPr="001939AD" w:rsidRDefault="001939AD" w:rsidP="00801EBE">
            <w:pPr>
              <w:pStyle w:val="BodyText"/>
              <w:numPr>
                <w:ilvl w:val="0"/>
                <w:numId w:val="4"/>
              </w:numPr>
              <w:spacing w:before="1"/>
              <w:rPr>
                <w:bCs/>
                <w:iCs/>
              </w:rPr>
            </w:pPr>
            <w:r w:rsidRPr="001939AD">
              <w:rPr>
                <w:bCs/>
                <w:iCs/>
              </w:rPr>
              <w:t>Campo Band of Mission Indians</w:t>
            </w:r>
          </w:p>
          <w:p w14:paraId="45A07C95" w14:textId="77777777" w:rsidR="001939AD" w:rsidRPr="001939AD" w:rsidRDefault="001939AD" w:rsidP="00801EBE">
            <w:pPr>
              <w:pStyle w:val="BodyText"/>
              <w:numPr>
                <w:ilvl w:val="0"/>
                <w:numId w:val="4"/>
              </w:numPr>
              <w:spacing w:before="1"/>
              <w:rPr>
                <w:bCs/>
                <w:iCs/>
              </w:rPr>
            </w:pPr>
            <w:r w:rsidRPr="001939AD">
              <w:rPr>
                <w:bCs/>
                <w:iCs/>
              </w:rPr>
              <w:t xml:space="preserve">Sycuan </w:t>
            </w:r>
            <w:r w:rsidRPr="001939AD">
              <w:t>Band of the Kumeyaay Nation</w:t>
            </w:r>
          </w:p>
          <w:p w14:paraId="38D84C07" w14:textId="77777777" w:rsidR="001939AD" w:rsidRPr="001939AD" w:rsidRDefault="001939AD" w:rsidP="00801EBE">
            <w:pPr>
              <w:pStyle w:val="BodyText"/>
              <w:numPr>
                <w:ilvl w:val="0"/>
                <w:numId w:val="4"/>
              </w:numPr>
              <w:spacing w:before="1"/>
              <w:rPr>
                <w:bCs/>
                <w:iCs/>
              </w:rPr>
            </w:pPr>
            <w:r w:rsidRPr="001939AD">
              <w:rPr>
                <w:bCs/>
                <w:iCs/>
              </w:rPr>
              <w:t>Manzanita Band of the Kumeyaay Nation</w:t>
            </w:r>
          </w:p>
          <w:p w14:paraId="5CE97199" w14:textId="77777777" w:rsidR="001939AD" w:rsidRPr="001939AD" w:rsidRDefault="001939AD" w:rsidP="00801EBE">
            <w:pPr>
              <w:pStyle w:val="BodyText"/>
              <w:numPr>
                <w:ilvl w:val="0"/>
                <w:numId w:val="4"/>
              </w:numPr>
              <w:spacing w:before="1"/>
            </w:pPr>
            <w:r w:rsidRPr="001939AD">
              <w:t>Viejas Band of Kumeyaay Indians</w:t>
            </w:r>
          </w:p>
          <w:p w14:paraId="02B7D83F" w14:textId="77777777" w:rsidR="001939AD" w:rsidRPr="001939AD" w:rsidRDefault="001939AD" w:rsidP="00801EBE">
            <w:pPr>
              <w:pStyle w:val="BodyText"/>
              <w:numPr>
                <w:ilvl w:val="0"/>
                <w:numId w:val="4"/>
              </w:numPr>
              <w:spacing w:before="1"/>
            </w:pPr>
            <w:r w:rsidRPr="001939AD">
              <w:t>Jamul Indian Village</w:t>
            </w:r>
          </w:p>
        </w:tc>
      </w:tr>
      <w:tr w:rsidR="001939AD" w:rsidRPr="001939AD" w14:paraId="59C33DA6" w14:textId="77777777" w:rsidTr="00DA61A0">
        <w:tc>
          <w:tcPr>
            <w:tcW w:w="3325" w:type="dxa"/>
          </w:tcPr>
          <w:p w14:paraId="40992A19" w14:textId="77777777" w:rsidR="001939AD" w:rsidRPr="001939AD" w:rsidRDefault="001939AD" w:rsidP="00801EBE">
            <w:pPr>
              <w:pStyle w:val="ListParagraph"/>
              <w:widowControl/>
              <w:numPr>
                <w:ilvl w:val="0"/>
                <w:numId w:val="1"/>
              </w:numPr>
              <w:autoSpaceDE/>
              <w:autoSpaceDN/>
              <w:ind w:left="0"/>
              <w:rPr>
                <w:bCs/>
                <w:iCs/>
                <w:sz w:val="24"/>
                <w:szCs w:val="24"/>
              </w:rPr>
            </w:pPr>
            <w:r w:rsidRPr="001939AD">
              <w:rPr>
                <w:bCs/>
                <w:iCs/>
                <w:sz w:val="24"/>
                <w:szCs w:val="24"/>
              </w:rPr>
              <w:t xml:space="preserve">Barona Band of Mission Indians </w:t>
            </w:r>
          </w:p>
          <w:p w14:paraId="4EF0D30E" w14:textId="77777777" w:rsidR="001939AD" w:rsidRPr="001939AD" w:rsidRDefault="001939AD" w:rsidP="00801EBE">
            <w:pPr>
              <w:pStyle w:val="ListParagraph"/>
              <w:widowControl/>
              <w:numPr>
                <w:ilvl w:val="0"/>
                <w:numId w:val="1"/>
              </w:numPr>
              <w:autoSpaceDE/>
              <w:autoSpaceDN/>
              <w:ind w:left="0"/>
              <w:rPr>
                <w:sz w:val="24"/>
                <w:szCs w:val="24"/>
              </w:rPr>
            </w:pPr>
            <w:r w:rsidRPr="001939AD">
              <w:rPr>
                <w:bCs/>
                <w:iCs/>
                <w:sz w:val="24"/>
                <w:szCs w:val="24"/>
              </w:rPr>
              <w:t>$479,016</w:t>
            </w:r>
          </w:p>
        </w:tc>
        <w:tc>
          <w:tcPr>
            <w:tcW w:w="6025" w:type="dxa"/>
          </w:tcPr>
          <w:p w14:paraId="07DD8EFD" w14:textId="77777777" w:rsidR="001939AD" w:rsidRPr="001939AD" w:rsidRDefault="001939AD" w:rsidP="00801EBE">
            <w:pPr>
              <w:pStyle w:val="BodyText"/>
              <w:spacing w:before="1"/>
            </w:pPr>
            <w:r w:rsidRPr="001939AD">
              <w:rPr>
                <w:bCs/>
                <w:iCs/>
              </w:rPr>
              <w:t>Procure and outfit a brush fire engine, with emergency radios and onboard wireless technology.  Remove 40 large eucalyptus trees and install one greenhouse at Barona Indian Charter School.</w:t>
            </w:r>
          </w:p>
        </w:tc>
      </w:tr>
      <w:tr w:rsidR="001939AD" w:rsidRPr="001939AD" w14:paraId="1FD309D7" w14:textId="77777777" w:rsidTr="00DA61A0">
        <w:tc>
          <w:tcPr>
            <w:tcW w:w="3325" w:type="dxa"/>
          </w:tcPr>
          <w:p w14:paraId="3220FCEC" w14:textId="77777777" w:rsidR="001939AD" w:rsidRPr="001939AD" w:rsidRDefault="001939AD" w:rsidP="00801EBE">
            <w:pPr>
              <w:widowControl/>
              <w:autoSpaceDE/>
              <w:autoSpaceDN/>
              <w:rPr>
                <w:bCs/>
                <w:iCs/>
                <w:sz w:val="24"/>
                <w:szCs w:val="24"/>
              </w:rPr>
            </w:pPr>
            <w:r w:rsidRPr="001939AD">
              <w:rPr>
                <w:bCs/>
                <w:iCs/>
                <w:sz w:val="24"/>
                <w:szCs w:val="24"/>
              </w:rPr>
              <w:t>Campo Band of Mission Indians</w:t>
            </w:r>
          </w:p>
          <w:p w14:paraId="3693A7A0" w14:textId="77777777" w:rsidR="001939AD" w:rsidRPr="001939AD" w:rsidRDefault="001939AD" w:rsidP="00801EBE">
            <w:pPr>
              <w:widowControl/>
              <w:autoSpaceDE/>
              <w:autoSpaceDN/>
              <w:rPr>
                <w:bCs/>
                <w:iCs/>
                <w:sz w:val="24"/>
                <w:szCs w:val="24"/>
              </w:rPr>
            </w:pPr>
            <w:r w:rsidRPr="001939AD">
              <w:rPr>
                <w:bCs/>
                <w:iCs/>
                <w:sz w:val="24"/>
                <w:szCs w:val="24"/>
              </w:rPr>
              <w:t>$560,619</w:t>
            </w:r>
          </w:p>
          <w:p w14:paraId="59928050" w14:textId="77777777" w:rsidR="001939AD" w:rsidRPr="001939AD" w:rsidRDefault="001939AD" w:rsidP="00801EBE">
            <w:pPr>
              <w:pStyle w:val="ListParagraph"/>
              <w:widowControl/>
              <w:numPr>
                <w:ilvl w:val="0"/>
                <w:numId w:val="1"/>
              </w:numPr>
              <w:autoSpaceDE/>
              <w:autoSpaceDN/>
              <w:ind w:left="0"/>
              <w:rPr>
                <w:bCs/>
                <w:iCs/>
                <w:sz w:val="24"/>
                <w:szCs w:val="24"/>
              </w:rPr>
            </w:pPr>
          </w:p>
        </w:tc>
        <w:tc>
          <w:tcPr>
            <w:tcW w:w="6025" w:type="dxa"/>
          </w:tcPr>
          <w:p w14:paraId="64515913" w14:textId="77777777" w:rsidR="001939AD" w:rsidRPr="001939AD" w:rsidRDefault="001939AD" w:rsidP="00801EBE">
            <w:pPr>
              <w:pStyle w:val="BodyText"/>
              <w:spacing w:before="1"/>
              <w:rPr>
                <w:bCs/>
                <w:iCs/>
              </w:rPr>
            </w:pPr>
            <w:r w:rsidRPr="001939AD">
              <w:rPr>
                <w:bCs/>
                <w:iCs/>
              </w:rPr>
              <w:t>Procure one Type 1 Fire Engine and associated equipment, ten communication devices, wildland personal protective equipment and other wildfire supplies.</w:t>
            </w:r>
          </w:p>
        </w:tc>
      </w:tr>
    </w:tbl>
    <w:bookmarkEnd w:id="0"/>
    <w:p w14:paraId="7E2D5212" w14:textId="77777777" w:rsidR="001939AD" w:rsidRPr="001939AD" w:rsidRDefault="001939AD" w:rsidP="00801EBE">
      <w:pPr>
        <w:pStyle w:val="Heading4"/>
        <w:spacing w:before="240" w:after="0"/>
        <w:ind w:firstLine="720"/>
        <w:rPr>
          <w:rFonts w:cs="Arial"/>
          <w:i w:val="0"/>
          <w:iCs w:val="0"/>
          <w:szCs w:val="24"/>
        </w:rPr>
      </w:pPr>
      <w:r w:rsidRPr="001939AD">
        <w:rPr>
          <w:rFonts w:cs="Arial"/>
          <w:i w:val="0"/>
          <w:iCs w:val="0"/>
          <w:szCs w:val="24"/>
        </w:rPr>
        <w:t>Table 3.  Grant Awards for Wildfire and Forest Resilience</w:t>
      </w:r>
    </w:p>
    <w:tbl>
      <w:tblPr>
        <w:tblStyle w:val="TableGrid"/>
        <w:tblW w:w="0" w:type="auto"/>
        <w:tblInd w:w="85" w:type="dxa"/>
        <w:tblLook w:val="04A0" w:firstRow="1" w:lastRow="0" w:firstColumn="1" w:lastColumn="0" w:noHBand="0" w:noVBand="1"/>
      </w:tblPr>
      <w:tblGrid>
        <w:gridCol w:w="3240"/>
        <w:gridCol w:w="6025"/>
      </w:tblGrid>
      <w:tr w:rsidR="001939AD" w:rsidRPr="001939AD" w14:paraId="64158104" w14:textId="77777777" w:rsidTr="00E364A2">
        <w:trPr>
          <w:cantSplit/>
          <w:tblHeader/>
        </w:trPr>
        <w:tc>
          <w:tcPr>
            <w:tcW w:w="3240" w:type="dxa"/>
            <w:shd w:val="clear" w:color="auto" w:fill="D9D9D9" w:themeFill="background1" w:themeFillShade="D9"/>
          </w:tcPr>
          <w:p w14:paraId="2BB27BFE" w14:textId="77777777" w:rsidR="001939AD" w:rsidRPr="001939AD" w:rsidRDefault="001939AD" w:rsidP="00801EBE">
            <w:pPr>
              <w:ind w:left="-107" w:firstLine="90"/>
              <w:rPr>
                <w:b/>
                <w:iCs/>
                <w:sz w:val="24"/>
                <w:szCs w:val="24"/>
              </w:rPr>
            </w:pPr>
            <w:bookmarkStart w:id="1" w:name="_Hlk128388264"/>
            <w:r w:rsidRPr="001939AD">
              <w:rPr>
                <w:b/>
                <w:iCs/>
                <w:sz w:val="24"/>
                <w:szCs w:val="24"/>
              </w:rPr>
              <w:t>Grantee</w:t>
            </w:r>
          </w:p>
        </w:tc>
        <w:tc>
          <w:tcPr>
            <w:tcW w:w="6025" w:type="dxa"/>
            <w:shd w:val="clear" w:color="auto" w:fill="D9D9D9" w:themeFill="background1" w:themeFillShade="D9"/>
          </w:tcPr>
          <w:p w14:paraId="794B980F" w14:textId="77777777" w:rsidR="001939AD" w:rsidRPr="001939AD" w:rsidRDefault="001939AD" w:rsidP="00801EBE">
            <w:pPr>
              <w:rPr>
                <w:b/>
                <w:iCs/>
                <w:sz w:val="24"/>
                <w:szCs w:val="24"/>
              </w:rPr>
            </w:pPr>
            <w:r w:rsidRPr="001939AD">
              <w:rPr>
                <w:b/>
                <w:iCs/>
                <w:sz w:val="24"/>
                <w:szCs w:val="24"/>
              </w:rPr>
              <w:t>Project Description</w:t>
            </w:r>
          </w:p>
        </w:tc>
      </w:tr>
      <w:tr w:rsidR="001939AD" w:rsidRPr="001939AD" w14:paraId="1EFB3336" w14:textId="77777777" w:rsidTr="00DA61A0">
        <w:tc>
          <w:tcPr>
            <w:tcW w:w="3240" w:type="dxa"/>
          </w:tcPr>
          <w:p w14:paraId="2803632D" w14:textId="77777777" w:rsidR="001939AD" w:rsidRPr="001939AD" w:rsidRDefault="001939AD" w:rsidP="00801EBE">
            <w:pPr>
              <w:pStyle w:val="ListParagraph"/>
              <w:widowControl/>
              <w:numPr>
                <w:ilvl w:val="0"/>
                <w:numId w:val="2"/>
              </w:numPr>
              <w:autoSpaceDE/>
              <w:autoSpaceDN/>
              <w:ind w:left="0"/>
              <w:rPr>
                <w:bCs/>
                <w:iCs/>
                <w:sz w:val="24"/>
                <w:szCs w:val="24"/>
              </w:rPr>
            </w:pPr>
            <w:r w:rsidRPr="001939AD">
              <w:rPr>
                <w:bCs/>
                <w:iCs/>
                <w:sz w:val="24"/>
                <w:szCs w:val="24"/>
              </w:rPr>
              <w:t xml:space="preserve">County of San Diego, Department of </w:t>
            </w:r>
            <w:proofErr w:type="gramStart"/>
            <w:r w:rsidRPr="001939AD">
              <w:rPr>
                <w:bCs/>
                <w:iCs/>
                <w:sz w:val="24"/>
                <w:szCs w:val="24"/>
              </w:rPr>
              <w:t>Parks</w:t>
            </w:r>
            <w:proofErr w:type="gramEnd"/>
            <w:r w:rsidRPr="001939AD">
              <w:rPr>
                <w:bCs/>
                <w:iCs/>
                <w:sz w:val="24"/>
                <w:szCs w:val="24"/>
              </w:rPr>
              <w:t xml:space="preserve"> and Recreation</w:t>
            </w:r>
          </w:p>
        </w:tc>
        <w:tc>
          <w:tcPr>
            <w:tcW w:w="6025" w:type="dxa"/>
          </w:tcPr>
          <w:p w14:paraId="25007E54" w14:textId="77777777" w:rsidR="001939AD" w:rsidRPr="001939AD" w:rsidRDefault="001939AD" w:rsidP="00801EBE">
            <w:pPr>
              <w:rPr>
                <w:bCs/>
                <w:iCs/>
                <w:sz w:val="24"/>
                <w:szCs w:val="24"/>
              </w:rPr>
            </w:pPr>
            <w:r w:rsidRPr="001939AD">
              <w:rPr>
                <w:bCs/>
                <w:iCs/>
                <w:sz w:val="24"/>
                <w:szCs w:val="24"/>
              </w:rPr>
              <w:t>Fuel reduction and weed abatement throughout 10,000 acres of parks and open space owned and managed by County Parks.</w:t>
            </w:r>
          </w:p>
        </w:tc>
      </w:tr>
      <w:tr w:rsidR="001939AD" w:rsidRPr="001939AD" w14:paraId="68C6F67E" w14:textId="77777777" w:rsidTr="00DA61A0">
        <w:tc>
          <w:tcPr>
            <w:tcW w:w="3240" w:type="dxa"/>
          </w:tcPr>
          <w:p w14:paraId="25E8582A" w14:textId="77777777" w:rsidR="001939AD" w:rsidRPr="001939AD" w:rsidRDefault="001939AD" w:rsidP="00801EBE">
            <w:pPr>
              <w:pStyle w:val="ListParagraph"/>
              <w:widowControl/>
              <w:numPr>
                <w:ilvl w:val="0"/>
                <w:numId w:val="1"/>
              </w:numPr>
              <w:autoSpaceDE/>
              <w:autoSpaceDN/>
              <w:ind w:left="0"/>
              <w:rPr>
                <w:bCs/>
                <w:iCs/>
                <w:sz w:val="24"/>
                <w:szCs w:val="24"/>
              </w:rPr>
            </w:pPr>
            <w:r w:rsidRPr="001939AD">
              <w:rPr>
                <w:bCs/>
                <w:iCs/>
                <w:sz w:val="24"/>
                <w:szCs w:val="24"/>
              </w:rPr>
              <w:t>United States Forest Service – Cleveland National Forest</w:t>
            </w:r>
          </w:p>
          <w:p w14:paraId="5D8B09EA" w14:textId="77777777" w:rsidR="001939AD" w:rsidRPr="001939AD" w:rsidRDefault="001939AD" w:rsidP="00801EBE">
            <w:pPr>
              <w:rPr>
                <w:bCs/>
                <w:iCs/>
                <w:sz w:val="24"/>
                <w:szCs w:val="24"/>
              </w:rPr>
            </w:pPr>
          </w:p>
        </w:tc>
        <w:tc>
          <w:tcPr>
            <w:tcW w:w="6025" w:type="dxa"/>
          </w:tcPr>
          <w:p w14:paraId="3A083ADD" w14:textId="77777777" w:rsidR="001939AD" w:rsidRPr="001939AD" w:rsidRDefault="001939AD" w:rsidP="00801EBE">
            <w:pPr>
              <w:rPr>
                <w:bCs/>
                <w:iCs/>
                <w:sz w:val="24"/>
                <w:szCs w:val="24"/>
              </w:rPr>
            </w:pPr>
            <w:r w:rsidRPr="001939AD">
              <w:rPr>
                <w:sz w:val="24"/>
                <w:szCs w:val="24"/>
              </w:rPr>
              <w:t xml:space="preserve">Target approximately 2,081 acres to reduce fuel loads across, clear brush on 100 miles of roads, and hire additional staff to protect sensitive resources and implement prescribed fire. In addition, install a helicopter landing zone with three 10,000-gallon underground water tanks. In addition, this project will procure two utility vehicles and three pumps, one tracked chipper, backup generators, one above ground 30,000-gallon water tank and other fire communication equipment, </w:t>
            </w:r>
            <w:proofErr w:type="gramStart"/>
            <w:r w:rsidRPr="001939AD">
              <w:rPr>
                <w:sz w:val="24"/>
                <w:szCs w:val="24"/>
              </w:rPr>
              <w:t>tools</w:t>
            </w:r>
            <w:proofErr w:type="gramEnd"/>
            <w:r w:rsidRPr="001939AD">
              <w:rPr>
                <w:sz w:val="24"/>
                <w:szCs w:val="24"/>
              </w:rPr>
              <w:t xml:space="preserve"> and supplies.</w:t>
            </w:r>
          </w:p>
        </w:tc>
      </w:tr>
      <w:tr w:rsidR="001939AD" w:rsidRPr="001939AD" w14:paraId="4B4A0825" w14:textId="77777777" w:rsidTr="00DA61A0">
        <w:tc>
          <w:tcPr>
            <w:tcW w:w="3240" w:type="dxa"/>
          </w:tcPr>
          <w:p w14:paraId="33EB212E" w14:textId="77777777" w:rsidR="001939AD" w:rsidRPr="001939AD" w:rsidRDefault="001939AD" w:rsidP="00801EBE">
            <w:pPr>
              <w:pStyle w:val="ListParagraph"/>
              <w:widowControl/>
              <w:numPr>
                <w:ilvl w:val="0"/>
                <w:numId w:val="1"/>
              </w:numPr>
              <w:autoSpaceDE/>
              <w:autoSpaceDN/>
              <w:ind w:left="0"/>
              <w:rPr>
                <w:bCs/>
                <w:sz w:val="24"/>
                <w:szCs w:val="24"/>
              </w:rPr>
            </w:pPr>
            <w:r w:rsidRPr="001939AD">
              <w:rPr>
                <w:bCs/>
                <w:iCs/>
                <w:sz w:val="24"/>
                <w:szCs w:val="24"/>
              </w:rPr>
              <w:t>San Diego Canyonlands</w:t>
            </w:r>
          </w:p>
          <w:p w14:paraId="5E64C0A5" w14:textId="77777777" w:rsidR="001939AD" w:rsidRPr="001939AD" w:rsidRDefault="001939AD" w:rsidP="00801EBE">
            <w:pPr>
              <w:pStyle w:val="ListParagraph"/>
              <w:widowControl/>
              <w:numPr>
                <w:ilvl w:val="0"/>
                <w:numId w:val="1"/>
              </w:numPr>
              <w:autoSpaceDE/>
              <w:autoSpaceDN/>
              <w:ind w:left="0"/>
              <w:rPr>
                <w:bCs/>
                <w:iCs/>
                <w:sz w:val="24"/>
                <w:szCs w:val="24"/>
              </w:rPr>
            </w:pPr>
          </w:p>
        </w:tc>
        <w:tc>
          <w:tcPr>
            <w:tcW w:w="6025" w:type="dxa"/>
          </w:tcPr>
          <w:p w14:paraId="5A3F5919" w14:textId="77777777" w:rsidR="001939AD" w:rsidRPr="001939AD" w:rsidRDefault="001939AD" w:rsidP="00801EBE">
            <w:pPr>
              <w:rPr>
                <w:bCs/>
                <w:iCs/>
                <w:sz w:val="24"/>
                <w:szCs w:val="24"/>
              </w:rPr>
            </w:pPr>
            <w:r w:rsidRPr="001939AD">
              <w:rPr>
                <w:sz w:val="24"/>
                <w:szCs w:val="24"/>
              </w:rPr>
              <w:t xml:space="preserve">Fuel reduction activities across 1,110 acres to reduce fire risk on land owned by the City of San Diego’s Open Space Division in the San Diego River watershed.  </w:t>
            </w:r>
          </w:p>
        </w:tc>
      </w:tr>
      <w:tr w:rsidR="001939AD" w:rsidRPr="001939AD" w14:paraId="39D2D377" w14:textId="77777777" w:rsidTr="00DA61A0">
        <w:tc>
          <w:tcPr>
            <w:tcW w:w="3240" w:type="dxa"/>
          </w:tcPr>
          <w:p w14:paraId="72275B24" w14:textId="77777777" w:rsidR="001939AD" w:rsidRPr="001939AD" w:rsidRDefault="001939AD" w:rsidP="00801EBE">
            <w:pPr>
              <w:pStyle w:val="ListParagraph"/>
              <w:widowControl/>
              <w:numPr>
                <w:ilvl w:val="0"/>
                <w:numId w:val="1"/>
              </w:numPr>
              <w:autoSpaceDE/>
              <w:autoSpaceDN/>
              <w:ind w:left="0"/>
              <w:rPr>
                <w:bCs/>
                <w:iCs/>
                <w:sz w:val="24"/>
                <w:szCs w:val="24"/>
              </w:rPr>
            </w:pPr>
            <w:r w:rsidRPr="001939AD">
              <w:rPr>
                <w:bCs/>
                <w:iCs/>
                <w:sz w:val="24"/>
                <w:szCs w:val="24"/>
              </w:rPr>
              <w:t>Lakeside’s River Park Conservancy</w:t>
            </w:r>
          </w:p>
          <w:p w14:paraId="6AE05CE7" w14:textId="77777777" w:rsidR="001939AD" w:rsidRPr="001939AD" w:rsidRDefault="001939AD" w:rsidP="00801EBE">
            <w:pPr>
              <w:widowControl/>
              <w:autoSpaceDE/>
              <w:autoSpaceDN/>
              <w:contextualSpacing/>
              <w:rPr>
                <w:bCs/>
                <w:iCs/>
                <w:sz w:val="24"/>
                <w:szCs w:val="24"/>
              </w:rPr>
            </w:pPr>
          </w:p>
        </w:tc>
        <w:tc>
          <w:tcPr>
            <w:tcW w:w="6025" w:type="dxa"/>
          </w:tcPr>
          <w:p w14:paraId="3C58E841" w14:textId="77777777" w:rsidR="001939AD" w:rsidRPr="001939AD" w:rsidRDefault="001939AD" w:rsidP="00801EBE">
            <w:pPr>
              <w:rPr>
                <w:sz w:val="24"/>
                <w:szCs w:val="24"/>
              </w:rPr>
            </w:pPr>
            <w:r w:rsidRPr="001939AD">
              <w:rPr>
                <w:sz w:val="24"/>
                <w:szCs w:val="24"/>
              </w:rPr>
              <w:t xml:space="preserve">Invasive removal and restoration to remove flammable fuel loads including invasive non-native vegetation across 212 acres in El Monte Valley on public and </w:t>
            </w:r>
            <w:r w:rsidRPr="001939AD">
              <w:rPr>
                <w:sz w:val="24"/>
                <w:szCs w:val="24"/>
              </w:rPr>
              <w:lastRenderedPageBreak/>
              <w:t>private land and in the Wildland Urban Interface in Lakeside and other communities located in east San Diego County.</w:t>
            </w:r>
          </w:p>
        </w:tc>
      </w:tr>
      <w:tr w:rsidR="001939AD" w:rsidRPr="001939AD" w14:paraId="42C8186C" w14:textId="77777777" w:rsidTr="00DA61A0">
        <w:tc>
          <w:tcPr>
            <w:tcW w:w="3240" w:type="dxa"/>
          </w:tcPr>
          <w:p w14:paraId="68074B81" w14:textId="77777777" w:rsidR="001939AD" w:rsidRPr="001939AD" w:rsidRDefault="001939AD" w:rsidP="00801EBE">
            <w:pPr>
              <w:pStyle w:val="ListParagraph"/>
              <w:widowControl/>
              <w:numPr>
                <w:ilvl w:val="0"/>
                <w:numId w:val="1"/>
              </w:numPr>
              <w:autoSpaceDE/>
              <w:autoSpaceDN/>
              <w:ind w:left="0"/>
              <w:rPr>
                <w:bCs/>
                <w:iCs/>
                <w:sz w:val="24"/>
                <w:szCs w:val="24"/>
              </w:rPr>
            </w:pPr>
            <w:r w:rsidRPr="001939AD">
              <w:rPr>
                <w:bCs/>
                <w:iCs/>
                <w:sz w:val="24"/>
                <w:szCs w:val="24"/>
              </w:rPr>
              <w:lastRenderedPageBreak/>
              <w:t>Resource Conservation District of Greater San Diego</w:t>
            </w:r>
          </w:p>
        </w:tc>
        <w:tc>
          <w:tcPr>
            <w:tcW w:w="6025" w:type="dxa"/>
          </w:tcPr>
          <w:p w14:paraId="7AE87471" w14:textId="77777777" w:rsidR="001939AD" w:rsidRPr="001939AD" w:rsidRDefault="001939AD" w:rsidP="00801EBE">
            <w:pPr>
              <w:rPr>
                <w:sz w:val="24"/>
                <w:szCs w:val="24"/>
              </w:rPr>
            </w:pPr>
            <w:r w:rsidRPr="001939AD">
              <w:rPr>
                <w:sz w:val="24"/>
                <w:szCs w:val="24"/>
              </w:rPr>
              <w:t>Provide defensible space and free chipping services for private property over 1,200 acres.</w:t>
            </w:r>
          </w:p>
        </w:tc>
      </w:tr>
      <w:tr w:rsidR="001939AD" w:rsidRPr="001939AD" w14:paraId="0F653A3A" w14:textId="77777777" w:rsidTr="00DA61A0">
        <w:tc>
          <w:tcPr>
            <w:tcW w:w="3240" w:type="dxa"/>
          </w:tcPr>
          <w:p w14:paraId="115DCD5D" w14:textId="77777777" w:rsidR="001939AD" w:rsidRPr="001939AD" w:rsidRDefault="001939AD" w:rsidP="00801EBE">
            <w:pPr>
              <w:pStyle w:val="ListParagraph"/>
              <w:widowControl/>
              <w:numPr>
                <w:ilvl w:val="0"/>
                <w:numId w:val="1"/>
              </w:numPr>
              <w:autoSpaceDE/>
              <w:autoSpaceDN/>
              <w:ind w:left="0"/>
              <w:rPr>
                <w:bCs/>
                <w:iCs/>
                <w:sz w:val="24"/>
                <w:szCs w:val="24"/>
              </w:rPr>
            </w:pPr>
            <w:r w:rsidRPr="001939AD">
              <w:rPr>
                <w:bCs/>
                <w:iCs/>
                <w:sz w:val="24"/>
                <w:szCs w:val="24"/>
              </w:rPr>
              <w:t>City of El Cajon</w:t>
            </w:r>
          </w:p>
          <w:p w14:paraId="569C325D" w14:textId="77777777" w:rsidR="001939AD" w:rsidRPr="001939AD" w:rsidRDefault="001939AD" w:rsidP="00801EBE">
            <w:pPr>
              <w:pStyle w:val="ListParagraph"/>
              <w:widowControl/>
              <w:numPr>
                <w:ilvl w:val="0"/>
                <w:numId w:val="1"/>
              </w:numPr>
              <w:autoSpaceDE/>
              <w:autoSpaceDN/>
              <w:ind w:left="0"/>
              <w:rPr>
                <w:bCs/>
                <w:iCs/>
                <w:sz w:val="24"/>
                <w:szCs w:val="24"/>
              </w:rPr>
            </w:pPr>
          </w:p>
        </w:tc>
        <w:tc>
          <w:tcPr>
            <w:tcW w:w="6025" w:type="dxa"/>
          </w:tcPr>
          <w:p w14:paraId="414501DC" w14:textId="77777777" w:rsidR="001939AD" w:rsidRPr="001939AD" w:rsidRDefault="001939AD" w:rsidP="00801EBE">
            <w:pPr>
              <w:rPr>
                <w:sz w:val="24"/>
                <w:szCs w:val="24"/>
              </w:rPr>
            </w:pPr>
            <w:r w:rsidRPr="001939AD">
              <w:rPr>
                <w:sz w:val="24"/>
                <w:szCs w:val="24"/>
              </w:rPr>
              <w:t xml:space="preserve">Targeting fuel reduction </w:t>
            </w:r>
            <w:proofErr w:type="gramStart"/>
            <w:r w:rsidRPr="001939AD">
              <w:rPr>
                <w:sz w:val="24"/>
                <w:szCs w:val="24"/>
              </w:rPr>
              <w:t>on</w:t>
            </w:r>
            <w:proofErr w:type="gramEnd"/>
            <w:r w:rsidRPr="001939AD">
              <w:rPr>
                <w:sz w:val="24"/>
                <w:szCs w:val="24"/>
              </w:rPr>
              <w:t xml:space="preserve"> 85 acres in Fletcher Hills Open Space and Hillside Park. Purchase a fire engine, compact track loader, brush cutter, develop a wildfire management plan, and provide training and education to firefighters.  </w:t>
            </w:r>
          </w:p>
        </w:tc>
      </w:tr>
      <w:tr w:rsidR="001939AD" w:rsidRPr="001939AD" w14:paraId="57046C6E" w14:textId="77777777" w:rsidTr="00DA61A0">
        <w:tc>
          <w:tcPr>
            <w:tcW w:w="3240" w:type="dxa"/>
          </w:tcPr>
          <w:p w14:paraId="39778CBA" w14:textId="77777777" w:rsidR="001939AD" w:rsidRPr="001939AD" w:rsidRDefault="001939AD" w:rsidP="00801EBE">
            <w:pPr>
              <w:pStyle w:val="ListParagraph"/>
              <w:widowControl/>
              <w:numPr>
                <w:ilvl w:val="0"/>
                <w:numId w:val="1"/>
              </w:numPr>
              <w:autoSpaceDE/>
              <w:autoSpaceDN/>
              <w:ind w:left="0"/>
              <w:rPr>
                <w:bCs/>
                <w:iCs/>
                <w:sz w:val="24"/>
                <w:szCs w:val="24"/>
              </w:rPr>
            </w:pPr>
            <w:r w:rsidRPr="001939AD">
              <w:rPr>
                <w:bCs/>
                <w:iCs/>
                <w:sz w:val="24"/>
                <w:szCs w:val="24"/>
              </w:rPr>
              <w:t>San Diego State University Research Foundation</w:t>
            </w:r>
          </w:p>
        </w:tc>
        <w:tc>
          <w:tcPr>
            <w:tcW w:w="6025" w:type="dxa"/>
          </w:tcPr>
          <w:p w14:paraId="3A5E8440" w14:textId="77777777" w:rsidR="001939AD" w:rsidRPr="001939AD" w:rsidRDefault="001939AD" w:rsidP="00801EBE">
            <w:pPr>
              <w:rPr>
                <w:sz w:val="24"/>
                <w:szCs w:val="24"/>
              </w:rPr>
            </w:pPr>
            <w:r w:rsidRPr="001939AD">
              <w:rPr>
                <w:sz w:val="24"/>
                <w:szCs w:val="24"/>
              </w:rPr>
              <w:t>In partnership with SDSU’s Soil Ecology and Restoration Group will remove highly flammable invasive non-native trees and vegetation across 9 acres.</w:t>
            </w:r>
          </w:p>
        </w:tc>
      </w:tr>
      <w:tr w:rsidR="001939AD" w:rsidRPr="001939AD" w14:paraId="6A77CBDE" w14:textId="77777777" w:rsidTr="00DA61A0">
        <w:tc>
          <w:tcPr>
            <w:tcW w:w="3240" w:type="dxa"/>
          </w:tcPr>
          <w:p w14:paraId="5FC0A85A" w14:textId="77777777" w:rsidR="001939AD" w:rsidRPr="001939AD" w:rsidRDefault="001939AD" w:rsidP="00801EBE">
            <w:pPr>
              <w:pStyle w:val="ListParagraph"/>
              <w:widowControl/>
              <w:numPr>
                <w:ilvl w:val="0"/>
                <w:numId w:val="1"/>
              </w:numPr>
              <w:autoSpaceDE/>
              <w:autoSpaceDN/>
              <w:ind w:left="0"/>
              <w:rPr>
                <w:bCs/>
                <w:iCs/>
                <w:sz w:val="24"/>
                <w:szCs w:val="24"/>
              </w:rPr>
            </w:pPr>
            <w:r w:rsidRPr="001939AD">
              <w:rPr>
                <w:bCs/>
                <w:iCs/>
                <w:sz w:val="24"/>
                <w:szCs w:val="24"/>
              </w:rPr>
              <w:t xml:space="preserve">San Diego Regional Fire Foundation </w:t>
            </w:r>
          </w:p>
        </w:tc>
        <w:tc>
          <w:tcPr>
            <w:tcW w:w="6025" w:type="dxa"/>
          </w:tcPr>
          <w:p w14:paraId="7D077037" w14:textId="77777777" w:rsidR="001939AD" w:rsidRPr="001939AD" w:rsidRDefault="001939AD" w:rsidP="00801EBE">
            <w:pPr>
              <w:spacing w:after="240"/>
              <w:rPr>
                <w:sz w:val="24"/>
                <w:szCs w:val="24"/>
              </w:rPr>
            </w:pPr>
            <w:r w:rsidRPr="001939AD">
              <w:rPr>
                <w:sz w:val="24"/>
                <w:szCs w:val="24"/>
              </w:rPr>
              <w:t xml:space="preserve">Provide funding to thirteen Fire Safe Councils in the County of San Diego, through the SAFE grant program. Recipients include the following project partners include the following Fire Safe Councils: Alpine/Viejas, Alvarado Estates, Campo/Lake Morena FSC, Chula Vista, Cuyamaca Woods, Jamul, Julian, Kensington, Lakeside, Mt. Laguna, Pine Valley, Potrero and </w:t>
            </w:r>
            <w:proofErr w:type="spellStart"/>
            <w:r w:rsidRPr="001939AD">
              <w:rPr>
                <w:sz w:val="24"/>
                <w:szCs w:val="24"/>
              </w:rPr>
              <w:t>Tecate</w:t>
            </w:r>
            <w:proofErr w:type="spellEnd"/>
            <w:r w:rsidRPr="001939AD">
              <w:rPr>
                <w:sz w:val="24"/>
                <w:szCs w:val="24"/>
              </w:rPr>
              <w:t>, Wynola Estates.</w:t>
            </w:r>
          </w:p>
          <w:p w14:paraId="2168E0EC" w14:textId="77777777" w:rsidR="001939AD" w:rsidRPr="001939AD" w:rsidRDefault="001939AD" w:rsidP="00801EBE">
            <w:pPr>
              <w:rPr>
                <w:sz w:val="24"/>
                <w:szCs w:val="24"/>
              </w:rPr>
            </w:pPr>
            <w:r w:rsidRPr="001939AD">
              <w:rPr>
                <w:sz w:val="24"/>
                <w:szCs w:val="24"/>
              </w:rPr>
              <w:t>In addition, partial funding for four fire engines, one chipper, one skid steer, one trailer, multiple VHF radios, firefighter wildfire PPE, supplies, and tools.</w:t>
            </w:r>
          </w:p>
          <w:p w14:paraId="4F8989C9" w14:textId="77777777" w:rsidR="001939AD" w:rsidRPr="001939AD" w:rsidRDefault="001939AD" w:rsidP="00801EBE">
            <w:pPr>
              <w:rPr>
                <w:sz w:val="24"/>
                <w:szCs w:val="24"/>
              </w:rPr>
            </w:pPr>
            <w:r w:rsidRPr="001939AD">
              <w:rPr>
                <w:sz w:val="24"/>
                <w:szCs w:val="24"/>
              </w:rPr>
              <w:t xml:space="preserve">Implement activities targeting invasive plant removal for hazardous fuels reduction to improve fire resiliency. </w:t>
            </w:r>
          </w:p>
        </w:tc>
      </w:tr>
      <w:tr w:rsidR="001939AD" w:rsidRPr="001939AD" w14:paraId="2BEA66D1" w14:textId="77777777" w:rsidTr="00DA61A0">
        <w:tc>
          <w:tcPr>
            <w:tcW w:w="3240" w:type="dxa"/>
          </w:tcPr>
          <w:p w14:paraId="10D4FA6A" w14:textId="77777777" w:rsidR="001939AD" w:rsidRPr="001939AD" w:rsidRDefault="001939AD" w:rsidP="00801EBE">
            <w:pPr>
              <w:pStyle w:val="ListParagraph"/>
              <w:widowControl/>
              <w:numPr>
                <w:ilvl w:val="0"/>
                <w:numId w:val="1"/>
              </w:numPr>
              <w:autoSpaceDE/>
              <w:autoSpaceDN/>
              <w:ind w:left="0"/>
              <w:rPr>
                <w:bCs/>
                <w:iCs/>
                <w:sz w:val="24"/>
                <w:szCs w:val="24"/>
              </w:rPr>
            </w:pPr>
            <w:r w:rsidRPr="001939AD">
              <w:rPr>
                <w:bCs/>
                <w:iCs/>
                <w:sz w:val="24"/>
                <w:szCs w:val="24"/>
              </w:rPr>
              <w:t>San Diego Fire-Rescue Foundation</w:t>
            </w:r>
          </w:p>
        </w:tc>
        <w:tc>
          <w:tcPr>
            <w:tcW w:w="6025" w:type="dxa"/>
          </w:tcPr>
          <w:p w14:paraId="55976429" w14:textId="77777777" w:rsidR="001939AD" w:rsidRPr="001939AD" w:rsidRDefault="001939AD" w:rsidP="00801EBE">
            <w:pPr>
              <w:widowControl/>
              <w:shd w:val="clear" w:color="auto" w:fill="FFFFFF"/>
              <w:autoSpaceDE/>
              <w:autoSpaceDN/>
              <w:rPr>
                <w:sz w:val="24"/>
                <w:szCs w:val="24"/>
              </w:rPr>
            </w:pPr>
            <w:r w:rsidRPr="001939AD">
              <w:rPr>
                <w:sz w:val="24"/>
                <w:szCs w:val="24"/>
              </w:rPr>
              <w:t>Targets 46 acres of road brushing and buffer for evacuation routes in the City of San Diego.  Procure one truck, one 4x4 all-terrain vehicle, battery-powered equipment, atomizing nozzles, and use of an ecofriendly fuel treatment.</w:t>
            </w:r>
          </w:p>
        </w:tc>
      </w:tr>
      <w:tr w:rsidR="001939AD" w:rsidRPr="001939AD" w14:paraId="373BAF9D" w14:textId="77777777" w:rsidTr="00DA61A0">
        <w:tc>
          <w:tcPr>
            <w:tcW w:w="3240" w:type="dxa"/>
          </w:tcPr>
          <w:p w14:paraId="5A77254F" w14:textId="77777777" w:rsidR="001939AD" w:rsidRPr="001939AD" w:rsidRDefault="001939AD" w:rsidP="00801EBE">
            <w:pPr>
              <w:pStyle w:val="ListParagraph"/>
              <w:widowControl/>
              <w:numPr>
                <w:ilvl w:val="0"/>
                <w:numId w:val="1"/>
              </w:numPr>
              <w:autoSpaceDE/>
              <w:autoSpaceDN/>
              <w:ind w:left="0"/>
              <w:rPr>
                <w:bCs/>
                <w:iCs/>
                <w:sz w:val="24"/>
                <w:szCs w:val="24"/>
              </w:rPr>
            </w:pPr>
            <w:r w:rsidRPr="001939AD">
              <w:rPr>
                <w:bCs/>
                <w:iCs/>
                <w:sz w:val="24"/>
                <w:szCs w:val="24"/>
              </w:rPr>
              <w:t xml:space="preserve">Mission Trails Regional Park Foundation </w:t>
            </w:r>
          </w:p>
        </w:tc>
        <w:tc>
          <w:tcPr>
            <w:tcW w:w="6025" w:type="dxa"/>
          </w:tcPr>
          <w:p w14:paraId="27DF292F" w14:textId="77777777" w:rsidR="001939AD" w:rsidRPr="001939AD" w:rsidRDefault="001939AD" w:rsidP="00801EBE">
            <w:pPr>
              <w:rPr>
                <w:sz w:val="24"/>
                <w:szCs w:val="24"/>
              </w:rPr>
            </w:pPr>
            <w:r w:rsidRPr="001939AD">
              <w:rPr>
                <w:sz w:val="24"/>
                <w:szCs w:val="24"/>
              </w:rPr>
              <w:t xml:space="preserve">In partnership with the City of San Diego, this project targets 270 acres for invasive plant removal and fuel reduction activities in the regional park. </w:t>
            </w:r>
          </w:p>
        </w:tc>
      </w:tr>
      <w:tr w:rsidR="001939AD" w:rsidRPr="001939AD" w14:paraId="7E5305FF" w14:textId="77777777" w:rsidTr="00DA61A0">
        <w:tc>
          <w:tcPr>
            <w:tcW w:w="3240" w:type="dxa"/>
          </w:tcPr>
          <w:p w14:paraId="07CCF514" w14:textId="77777777" w:rsidR="001939AD" w:rsidRPr="001939AD" w:rsidRDefault="001939AD" w:rsidP="00801EBE">
            <w:pPr>
              <w:pStyle w:val="ListParagraph"/>
              <w:widowControl/>
              <w:numPr>
                <w:ilvl w:val="0"/>
                <w:numId w:val="1"/>
              </w:numPr>
              <w:autoSpaceDE/>
              <w:autoSpaceDN/>
              <w:ind w:left="0"/>
              <w:rPr>
                <w:bCs/>
                <w:iCs/>
                <w:sz w:val="24"/>
                <w:szCs w:val="24"/>
              </w:rPr>
            </w:pPr>
            <w:r w:rsidRPr="001939AD">
              <w:rPr>
                <w:bCs/>
                <w:iCs/>
                <w:sz w:val="24"/>
                <w:szCs w:val="24"/>
              </w:rPr>
              <w:t xml:space="preserve">San Diego Audubon Society </w:t>
            </w:r>
          </w:p>
        </w:tc>
        <w:tc>
          <w:tcPr>
            <w:tcW w:w="6025" w:type="dxa"/>
          </w:tcPr>
          <w:p w14:paraId="5CE2A7FA" w14:textId="77777777" w:rsidR="001939AD" w:rsidRPr="001939AD" w:rsidRDefault="001939AD" w:rsidP="00801EBE">
            <w:pPr>
              <w:rPr>
                <w:sz w:val="24"/>
                <w:szCs w:val="24"/>
              </w:rPr>
            </w:pPr>
            <w:r w:rsidRPr="001939AD">
              <w:rPr>
                <w:sz w:val="24"/>
                <w:szCs w:val="24"/>
              </w:rPr>
              <w:t>Targets 65 acres for hazardous fuel reduction through invasive plant removal activities, maintain 8-acres of fuel breaks, provide fire related education programs and informational kiosk at Silverwood Wildlife Sanctuary.</w:t>
            </w:r>
          </w:p>
        </w:tc>
      </w:tr>
      <w:tr w:rsidR="001939AD" w:rsidRPr="001939AD" w14:paraId="41D669E2" w14:textId="77777777" w:rsidTr="00DA61A0">
        <w:tc>
          <w:tcPr>
            <w:tcW w:w="3240" w:type="dxa"/>
          </w:tcPr>
          <w:p w14:paraId="521A0238" w14:textId="77777777" w:rsidR="001939AD" w:rsidRPr="001939AD" w:rsidRDefault="001939AD" w:rsidP="00801EBE">
            <w:pPr>
              <w:pStyle w:val="ListParagraph"/>
              <w:widowControl/>
              <w:numPr>
                <w:ilvl w:val="0"/>
                <w:numId w:val="1"/>
              </w:numPr>
              <w:autoSpaceDE/>
              <w:autoSpaceDN/>
              <w:ind w:left="0"/>
              <w:rPr>
                <w:bCs/>
                <w:iCs/>
                <w:sz w:val="24"/>
                <w:szCs w:val="24"/>
              </w:rPr>
            </w:pPr>
            <w:r w:rsidRPr="001939AD">
              <w:rPr>
                <w:bCs/>
                <w:iCs/>
                <w:sz w:val="24"/>
                <w:szCs w:val="24"/>
              </w:rPr>
              <w:t>Girls Scouts San Diego</w:t>
            </w:r>
          </w:p>
        </w:tc>
        <w:tc>
          <w:tcPr>
            <w:tcW w:w="6025" w:type="dxa"/>
          </w:tcPr>
          <w:p w14:paraId="4AD3FE7A" w14:textId="77777777" w:rsidR="001939AD" w:rsidRPr="001939AD" w:rsidRDefault="001939AD" w:rsidP="00801EBE">
            <w:pPr>
              <w:rPr>
                <w:sz w:val="24"/>
                <w:szCs w:val="24"/>
              </w:rPr>
            </w:pPr>
            <w:r w:rsidRPr="001939AD">
              <w:rPr>
                <w:sz w:val="24"/>
                <w:szCs w:val="24"/>
              </w:rPr>
              <w:t xml:space="preserve">Project targets 144 acres for fuel reduction activities </w:t>
            </w:r>
            <w:r w:rsidRPr="001939AD">
              <w:rPr>
                <w:sz w:val="24"/>
                <w:szCs w:val="24"/>
              </w:rPr>
              <w:lastRenderedPageBreak/>
              <w:t xml:space="preserve">within the Girl Scouts’ Camp </w:t>
            </w:r>
            <w:proofErr w:type="spellStart"/>
            <w:r w:rsidRPr="001939AD">
              <w:rPr>
                <w:sz w:val="24"/>
                <w:szCs w:val="24"/>
              </w:rPr>
              <w:t>Winacka</w:t>
            </w:r>
            <w:proofErr w:type="spellEnd"/>
            <w:r w:rsidRPr="001939AD">
              <w:rPr>
                <w:sz w:val="24"/>
                <w:szCs w:val="24"/>
              </w:rPr>
              <w:t xml:space="preserve"> and Camp Whispering Oaks plus construction and staffing for a new nursery to propagate native trees.</w:t>
            </w:r>
          </w:p>
        </w:tc>
      </w:tr>
      <w:tr w:rsidR="001939AD" w:rsidRPr="001939AD" w14:paraId="32638111" w14:textId="77777777" w:rsidTr="00DA61A0">
        <w:tc>
          <w:tcPr>
            <w:tcW w:w="3240" w:type="dxa"/>
          </w:tcPr>
          <w:p w14:paraId="59A8DB97" w14:textId="77777777" w:rsidR="001939AD" w:rsidRPr="001939AD" w:rsidRDefault="001939AD" w:rsidP="00801EBE">
            <w:pPr>
              <w:pStyle w:val="ListParagraph"/>
              <w:widowControl/>
              <w:numPr>
                <w:ilvl w:val="0"/>
                <w:numId w:val="1"/>
              </w:numPr>
              <w:autoSpaceDE/>
              <w:autoSpaceDN/>
              <w:ind w:left="0"/>
              <w:rPr>
                <w:bCs/>
                <w:iCs/>
                <w:sz w:val="24"/>
                <w:szCs w:val="24"/>
              </w:rPr>
            </w:pPr>
            <w:r w:rsidRPr="001939AD">
              <w:rPr>
                <w:bCs/>
                <w:iCs/>
                <w:sz w:val="24"/>
                <w:szCs w:val="24"/>
              </w:rPr>
              <w:lastRenderedPageBreak/>
              <w:t xml:space="preserve">Alpine Fire Protection District </w:t>
            </w:r>
          </w:p>
        </w:tc>
        <w:tc>
          <w:tcPr>
            <w:tcW w:w="6025" w:type="dxa"/>
          </w:tcPr>
          <w:p w14:paraId="3DFD1D8D" w14:textId="77777777" w:rsidR="001939AD" w:rsidRPr="001939AD" w:rsidRDefault="001939AD" w:rsidP="00801EBE">
            <w:pPr>
              <w:rPr>
                <w:sz w:val="24"/>
                <w:szCs w:val="24"/>
              </w:rPr>
            </w:pPr>
            <w:r w:rsidRPr="001939AD">
              <w:rPr>
                <w:sz w:val="24"/>
                <w:szCs w:val="24"/>
              </w:rPr>
              <w:t>Targeting 16 acres for hazardous fuels removal within Alpine Creek and procure one Type 6 Wildland Fire Engine.</w:t>
            </w:r>
          </w:p>
        </w:tc>
      </w:tr>
      <w:bookmarkEnd w:id="1"/>
      <w:tr w:rsidR="001939AD" w:rsidRPr="001939AD" w14:paraId="1B5E8390" w14:textId="77777777" w:rsidTr="00DA61A0">
        <w:tc>
          <w:tcPr>
            <w:tcW w:w="3240" w:type="dxa"/>
          </w:tcPr>
          <w:p w14:paraId="2E5B30A9" w14:textId="77777777" w:rsidR="001939AD" w:rsidRPr="001939AD" w:rsidRDefault="001939AD" w:rsidP="00801EBE">
            <w:pPr>
              <w:pStyle w:val="BodyText"/>
              <w:rPr>
                <w:iCs/>
              </w:rPr>
            </w:pPr>
            <w:r w:rsidRPr="001939AD">
              <w:rPr>
                <w:iCs/>
              </w:rPr>
              <w:t>City of Santee, Santee Fire Department</w:t>
            </w:r>
          </w:p>
          <w:p w14:paraId="7B6681CE" w14:textId="77777777" w:rsidR="001939AD" w:rsidRPr="001939AD" w:rsidRDefault="001939AD" w:rsidP="00801EBE">
            <w:pPr>
              <w:pStyle w:val="BodyText"/>
              <w:rPr>
                <w:b/>
                <w:bCs/>
                <w:iCs/>
              </w:rPr>
            </w:pPr>
          </w:p>
        </w:tc>
        <w:tc>
          <w:tcPr>
            <w:tcW w:w="6025" w:type="dxa"/>
          </w:tcPr>
          <w:p w14:paraId="268EC7CE" w14:textId="77777777" w:rsidR="001939AD" w:rsidRPr="001939AD" w:rsidRDefault="001939AD" w:rsidP="00801EBE">
            <w:pPr>
              <w:pStyle w:val="BodyText"/>
              <w:spacing w:after="240"/>
            </w:pPr>
            <w:r w:rsidRPr="001939AD">
              <w:t>Project will outfit one</w:t>
            </w:r>
            <w:r w:rsidRPr="001939AD">
              <w:rPr>
                <w:rFonts w:eastAsiaTheme="minorHAnsi"/>
              </w:rPr>
              <w:t xml:space="preserve"> Type 6 Fire Engine and procure personal protective equipment and provide wildland firefighting training for the Santee Fire Department.</w:t>
            </w:r>
          </w:p>
          <w:p w14:paraId="4E93E900" w14:textId="77777777" w:rsidR="001939AD" w:rsidRPr="001939AD" w:rsidRDefault="001939AD" w:rsidP="00801EBE">
            <w:pPr>
              <w:pStyle w:val="BodyText"/>
              <w:rPr>
                <w:rFonts w:eastAsiaTheme="minorHAnsi"/>
              </w:rPr>
            </w:pPr>
            <w:r w:rsidRPr="001939AD">
              <w:t xml:space="preserve">In addition, Santee will implement wildfire management strategies and reduce fuel loads across 426 acres along the San Diego River and leverage matching funds from a FEMA grant to </w:t>
            </w:r>
            <w:r w:rsidRPr="001939AD">
              <w:rPr>
                <w:rFonts w:eastAsiaTheme="minorHAnsi"/>
              </w:rPr>
              <w:t>manage vegetation within Santee’s Wildland Urban Interface.</w:t>
            </w:r>
          </w:p>
        </w:tc>
      </w:tr>
    </w:tbl>
    <w:p w14:paraId="13E9E7A2" w14:textId="77777777" w:rsidR="001939AD" w:rsidRPr="001939AD" w:rsidRDefault="001939AD" w:rsidP="00801EBE">
      <w:pPr>
        <w:pStyle w:val="Heading2"/>
        <w:spacing w:before="240"/>
        <w:rPr>
          <w:rFonts w:cs="Arial"/>
          <w:szCs w:val="24"/>
        </w:rPr>
      </w:pPr>
      <w:r w:rsidRPr="001939AD">
        <w:rPr>
          <w:rFonts w:cs="Arial"/>
          <w:szCs w:val="24"/>
        </w:rPr>
        <w:t>Program 4: Protect and Preserve Cultural and Historical Resources</w:t>
      </w:r>
    </w:p>
    <w:p w14:paraId="0F67EDCC" w14:textId="77777777" w:rsidR="001939AD" w:rsidRPr="001939AD" w:rsidRDefault="001939AD" w:rsidP="00801EBE">
      <w:pPr>
        <w:spacing w:after="240"/>
        <w:rPr>
          <w:sz w:val="24"/>
          <w:szCs w:val="24"/>
        </w:rPr>
      </w:pPr>
      <w:r w:rsidRPr="001939AD">
        <w:rPr>
          <w:rFonts w:eastAsia="Arial Narrow"/>
          <w:iCs/>
          <w:spacing w:val="1"/>
          <w:sz w:val="24"/>
          <w:szCs w:val="24"/>
          <w:u w:color="000000"/>
        </w:rPr>
        <w:t xml:space="preserve">To better protect and preserve sensitive cultural resources, </w:t>
      </w:r>
      <w:r w:rsidRPr="001939AD">
        <w:rPr>
          <w:sz w:val="24"/>
          <w:szCs w:val="24"/>
        </w:rPr>
        <w:t xml:space="preserve">additional funds were awarded to Cleveland National Forest to engage qualified Kumeyaay Cultural Monitors who have firsthand exposure to project activities. This $150,000 grant provides compensation for qualified Kumeyaay cultural monitoring activities who oversee the Wildfire Resilience and Forest Health Project in the Conservancy’s service areas. </w:t>
      </w:r>
    </w:p>
    <w:p w14:paraId="211A6A93" w14:textId="77777777" w:rsidR="001939AD" w:rsidRPr="001939AD" w:rsidRDefault="001939AD" w:rsidP="00801EBE">
      <w:pPr>
        <w:pStyle w:val="Heading2"/>
        <w:rPr>
          <w:rFonts w:cs="Arial"/>
          <w:szCs w:val="24"/>
        </w:rPr>
      </w:pPr>
      <w:r w:rsidRPr="001939AD">
        <w:rPr>
          <w:rFonts w:cs="Arial"/>
          <w:szCs w:val="24"/>
        </w:rPr>
        <w:t xml:space="preserve">Program 5: Enhance Water Quality and Natural Flood Conveyance </w:t>
      </w:r>
    </w:p>
    <w:p w14:paraId="0D775D7A" w14:textId="77777777" w:rsidR="001939AD" w:rsidRPr="001939AD" w:rsidRDefault="001939AD" w:rsidP="00801EBE">
      <w:pPr>
        <w:pStyle w:val="Default"/>
        <w:spacing w:after="240"/>
        <w:rPr>
          <w:rFonts w:ascii="Arial" w:eastAsia="Arial Narrow" w:hAnsi="Arial" w:cs="Arial"/>
          <w:bCs/>
          <w:color w:val="auto"/>
          <w:spacing w:val="1"/>
        </w:rPr>
      </w:pPr>
      <w:r w:rsidRPr="001939AD">
        <w:rPr>
          <w:rFonts w:ascii="Arial" w:eastAsia="Arial Narrow" w:hAnsi="Arial" w:cs="Arial"/>
          <w:iCs/>
          <w:color w:val="auto"/>
          <w:w w:val="102"/>
          <w:u w:color="000000"/>
        </w:rPr>
        <w:t xml:space="preserve">The Conservancy invested ($5 million) for water quality and natural flood conveyance projects. Three of the 4 projects serve disadvantaged communities in the County of San Diego which are all located in the San Diego River Watershed. </w:t>
      </w:r>
      <w:r w:rsidRPr="001939AD">
        <w:rPr>
          <w:rFonts w:ascii="Arial" w:eastAsia="Arial Narrow" w:hAnsi="Arial" w:cs="Arial"/>
          <w:bCs/>
          <w:color w:val="auto"/>
          <w:spacing w:val="1"/>
        </w:rPr>
        <w:t xml:space="preserve">This program supports the California Natural Resources Agency’s initiatives to protect biodiversity and build climate resiliency. </w:t>
      </w:r>
    </w:p>
    <w:p w14:paraId="3749BD27" w14:textId="77777777" w:rsidR="001939AD" w:rsidRPr="001939AD" w:rsidRDefault="001939AD" w:rsidP="00801EBE">
      <w:pPr>
        <w:pStyle w:val="Heading3"/>
        <w:ind w:firstLine="720"/>
        <w:rPr>
          <w:rFonts w:cs="Arial"/>
          <w:szCs w:val="24"/>
        </w:rPr>
      </w:pPr>
      <w:r w:rsidRPr="001939AD">
        <w:rPr>
          <w:rFonts w:cs="Arial"/>
          <w:szCs w:val="24"/>
        </w:rPr>
        <w:t xml:space="preserve">San Diego State University (SDSU) One Water Center </w:t>
      </w:r>
    </w:p>
    <w:p w14:paraId="22EA64F9" w14:textId="77777777" w:rsidR="001939AD" w:rsidRPr="001939AD" w:rsidRDefault="001939AD" w:rsidP="00801EBE">
      <w:pPr>
        <w:widowControl/>
        <w:adjustRightInd w:val="0"/>
        <w:spacing w:after="240"/>
        <w:ind w:left="720"/>
        <w:rPr>
          <w:sz w:val="24"/>
          <w:szCs w:val="24"/>
        </w:rPr>
      </w:pPr>
      <w:r w:rsidRPr="001939AD">
        <w:rPr>
          <w:sz w:val="24"/>
          <w:szCs w:val="24"/>
        </w:rPr>
        <w:t xml:space="preserve">This project will install a modular lab system to serve as a testing, training, and research facility for water resources in the San Diego </w:t>
      </w:r>
      <w:proofErr w:type="gramStart"/>
      <w:r w:rsidRPr="001939AD">
        <w:rPr>
          <w:sz w:val="24"/>
          <w:szCs w:val="24"/>
        </w:rPr>
        <w:t>region, and</w:t>
      </w:r>
      <w:proofErr w:type="gramEnd"/>
      <w:r w:rsidRPr="001939AD">
        <w:rPr>
          <w:sz w:val="24"/>
          <w:szCs w:val="24"/>
        </w:rPr>
        <w:t xml:space="preserve"> involve students and professors at SDSU. The living learning laboratory will be located at SDSU’s Mission Valley Park and within walking distance to the San Diego River.</w:t>
      </w:r>
    </w:p>
    <w:p w14:paraId="15307C33" w14:textId="77777777" w:rsidR="001939AD" w:rsidRPr="001939AD" w:rsidRDefault="001939AD" w:rsidP="00801EBE">
      <w:pPr>
        <w:pStyle w:val="Heading3"/>
        <w:ind w:firstLine="720"/>
        <w:rPr>
          <w:rFonts w:cs="Arial"/>
          <w:szCs w:val="24"/>
        </w:rPr>
      </w:pPr>
      <w:r w:rsidRPr="001939AD">
        <w:rPr>
          <w:rFonts w:cs="Arial"/>
          <w:szCs w:val="24"/>
        </w:rPr>
        <w:t xml:space="preserve">City of El Cajon - Trash Full Capture Devices </w:t>
      </w:r>
    </w:p>
    <w:p w14:paraId="00197EE8" w14:textId="77777777" w:rsidR="001939AD" w:rsidRPr="001939AD" w:rsidRDefault="001939AD" w:rsidP="00801EBE">
      <w:pPr>
        <w:spacing w:after="240"/>
        <w:ind w:left="720"/>
        <w:rPr>
          <w:bCs/>
          <w:sz w:val="24"/>
          <w:szCs w:val="24"/>
        </w:rPr>
      </w:pPr>
      <w:r w:rsidRPr="001939AD">
        <w:rPr>
          <w:bCs/>
          <w:sz w:val="24"/>
          <w:szCs w:val="24"/>
        </w:rPr>
        <w:t>While removing invasive plants along the river decreases the risk of fire and flood, the City of El Cajon will also install 70 full capture trash devices in disadvantaged and severely disadvantaged communities to improve stormwater quality draining through El Cajon.</w:t>
      </w:r>
    </w:p>
    <w:p w14:paraId="6D263D9B" w14:textId="77777777" w:rsidR="001939AD" w:rsidRPr="001939AD" w:rsidRDefault="001939AD" w:rsidP="00801EBE">
      <w:pPr>
        <w:pStyle w:val="Heading3"/>
        <w:ind w:firstLine="720"/>
        <w:rPr>
          <w:rFonts w:cs="Arial"/>
          <w:szCs w:val="24"/>
        </w:rPr>
      </w:pPr>
      <w:r w:rsidRPr="001939AD">
        <w:rPr>
          <w:rFonts w:cs="Arial"/>
          <w:szCs w:val="24"/>
        </w:rPr>
        <w:t>City of El Cajon - Broadway Creek Restoration (Phase B)</w:t>
      </w:r>
    </w:p>
    <w:p w14:paraId="6F164D68" w14:textId="77777777" w:rsidR="001939AD" w:rsidRPr="001939AD" w:rsidRDefault="001939AD" w:rsidP="00801EBE">
      <w:pPr>
        <w:pStyle w:val="BodyText"/>
        <w:spacing w:after="240"/>
        <w:ind w:left="720"/>
      </w:pPr>
      <w:r w:rsidRPr="001939AD">
        <w:t xml:space="preserve">This second phase of an urban stream restoration project runs through </w:t>
      </w:r>
      <w:r w:rsidRPr="001939AD">
        <w:lastRenderedPageBreak/>
        <w:t xml:space="preserve">disadvantaged and severely disadvantaged communities and includes 400 linear feet improvements to native habitat and bank stabilization at Broadway Creek, a tributary to the San Diego River in El Cajon. </w:t>
      </w:r>
    </w:p>
    <w:p w14:paraId="45A47E33" w14:textId="77777777" w:rsidR="001939AD" w:rsidRPr="001939AD" w:rsidRDefault="001939AD" w:rsidP="00801EBE">
      <w:pPr>
        <w:pStyle w:val="Heading2"/>
        <w:rPr>
          <w:rFonts w:cs="Arial"/>
          <w:szCs w:val="24"/>
        </w:rPr>
      </w:pPr>
      <w:r w:rsidRPr="001939AD">
        <w:rPr>
          <w:rFonts w:cs="Arial"/>
          <w:szCs w:val="24"/>
        </w:rPr>
        <w:t>ADMINISTRATION/FISCAL</w:t>
      </w:r>
      <w:r w:rsidRPr="001939AD">
        <w:rPr>
          <w:rFonts w:cs="Arial"/>
          <w:spacing w:val="-10"/>
          <w:szCs w:val="24"/>
        </w:rPr>
        <w:t xml:space="preserve"> </w:t>
      </w:r>
      <w:r w:rsidRPr="001939AD">
        <w:rPr>
          <w:rFonts w:cs="Arial"/>
          <w:spacing w:val="-2"/>
          <w:szCs w:val="24"/>
        </w:rPr>
        <w:t>DUTIES</w:t>
      </w:r>
    </w:p>
    <w:p w14:paraId="528A4843" w14:textId="77777777" w:rsidR="001939AD" w:rsidRPr="001939AD" w:rsidRDefault="001939AD" w:rsidP="00801EBE">
      <w:pPr>
        <w:pStyle w:val="ListParagraph"/>
        <w:numPr>
          <w:ilvl w:val="0"/>
          <w:numId w:val="3"/>
        </w:numPr>
        <w:contextualSpacing w:val="0"/>
        <w:rPr>
          <w:sz w:val="24"/>
          <w:szCs w:val="24"/>
        </w:rPr>
      </w:pPr>
      <w:r w:rsidRPr="001939AD">
        <w:rPr>
          <w:sz w:val="24"/>
          <w:szCs w:val="24"/>
        </w:rPr>
        <w:t xml:space="preserve">State Operations Budget $411,000; Environmental License Plate Fund for FY </w:t>
      </w:r>
      <w:r w:rsidRPr="001939AD">
        <w:rPr>
          <w:spacing w:val="-2"/>
          <w:sz w:val="24"/>
          <w:szCs w:val="24"/>
        </w:rPr>
        <w:t>2023-24</w:t>
      </w:r>
    </w:p>
    <w:p w14:paraId="1E031519" w14:textId="77777777" w:rsidR="001939AD" w:rsidRPr="001939AD" w:rsidRDefault="001939AD" w:rsidP="00801EBE">
      <w:pPr>
        <w:pStyle w:val="ListParagraph"/>
        <w:numPr>
          <w:ilvl w:val="0"/>
          <w:numId w:val="3"/>
        </w:numPr>
        <w:spacing w:line="237" w:lineRule="auto"/>
        <w:contextualSpacing w:val="0"/>
        <w:rPr>
          <w:sz w:val="24"/>
          <w:szCs w:val="24"/>
        </w:rPr>
      </w:pPr>
      <w:r w:rsidRPr="001939AD">
        <w:rPr>
          <w:sz w:val="24"/>
          <w:szCs w:val="24"/>
        </w:rPr>
        <w:t xml:space="preserve">State Operations Budget $431,000; Environmental License Plate Fund for FY </w:t>
      </w:r>
      <w:r w:rsidRPr="001939AD">
        <w:rPr>
          <w:spacing w:val="-2"/>
          <w:sz w:val="24"/>
          <w:szCs w:val="24"/>
        </w:rPr>
        <w:t>2024-25</w:t>
      </w:r>
    </w:p>
    <w:p w14:paraId="774D22FD" w14:textId="77777777" w:rsidR="001939AD" w:rsidRPr="001939AD" w:rsidRDefault="001939AD" w:rsidP="00801EBE">
      <w:pPr>
        <w:pStyle w:val="ListParagraph"/>
        <w:numPr>
          <w:ilvl w:val="0"/>
          <w:numId w:val="3"/>
        </w:numPr>
        <w:spacing w:before="1" w:line="293" w:lineRule="exact"/>
        <w:contextualSpacing w:val="0"/>
        <w:rPr>
          <w:sz w:val="24"/>
          <w:szCs w:val="24"/>
        </w:rPr>
      </w:pPr>
      <w:r w:rsidRPr="001939AD">
        <w:rPr>
          <w:sz w:val="24"/>
          <w:szCs w:val="24"/>
        </w:rPr>
        <w:t>Prepare agendas, board materials</w:t>
      </w:r>
      <w:r w:rsidRPr="001939AD">
        <w:rPr>
          <w:spacing w:val="-2"/>
          <w:sz w:val="24"/>
          <w:szCs w:val="24"/>
        </w:rPr>
        <w:t xml:space="preserve"> and hold public </w:t>
      </w:r>
      <w:proofErr w:type="gramStart"/>
      <w:r w:rsidRPr="001939AD">
        <w:rPr>
          <w:spacing w:val="-2"/>
          <w:sz w:val="24"/>
          <w:szCs w:val="24"/>
        </w:rPr>
        <w:t>meetings</w:t>
      </w:r>
      <w:proofErr w:type="gramEnd"/>
    </w:p>
    <w:p w14:paraId="65444BFA" w14:textId="77777777" w:rsidR="001939AD" w:rsidRPr="001939AD" w:rsidRDefault="001939AD" w:rsidP="00801EBE">
      <w:pPr>
        <w:pStyle w:val="ListParagraph"/>
        <w:numPr>
          <w:ilvl w:val="0"/>
          <w:numId w:val="3"/>
        </w:numPr>
        <w:spacing w:before="1" w:line="293" w:lineRule="exact"/>
        <w:contextualSpacing w:val="0"/>
        <w:rPr>
          <w:sz w:val="24"/>
          <w:szCs w:val="24"/>
        </w:rPr>
      </w:pPr>
      <w:r w:rsidRPr="001939AD">
        <w:rPr>
          <w:spacing w:val="-2"/>
          <w:sz w:val="24"/>
          <w:szCs w:val="24"/>
        </w:rPr>
        <w:t>Liaison to the Governing Board members</w:t>
      </w:r>
    </w:p>
    <w:p w14:paraId="0823B0A2" w14:textId="77777777" w:rsidR="001939AD" w:rsidRPr="001939AD" w:rsidRDefault="001939AD" w:rsidP="00801EBE">
      <w:pPr>
        <w:pStyle w:val="ListParagraph"/>
        <w:numPr>
          <w:ilvl w:val="0"/>
          <w:numId w:val="3"/>
        </w:numPr>
        <w:contextualSpacing w:val="0"/>
        <w:rPr>
          <w:sz w:val="24"/>
          <w:szCs w:val="24"/>
        </w:rPr>
      </w:pPr>
      <w:r w:rsidRPr="001939AD">
        <w:rPr>
          <w:sz w:val="24"/>
          <w:szCs w:val="24"/>
        </w:rPr>
        <w:t xml:space="preserve">Coordinate and communicate with other state agencies, grantees, partners and the </w:t>
      </w:r>
      <w:proofErr w:type="gramStart"/>
      <w:r w:rsidRPr="001939AD">
        <w:rPr>
          <w:spacing w:val="-2"/>
          <w:sz w:val="24"/>
          <w:szCs w:val="24"/>
        </w:rPr>
        <w:t>public</w:t>
      </w:r>
      <w:proofErr w:type="gramEnd"/>
    </w:p>
    <w:p w14:paraId="5C3BDF29" w14:textId="77777777" w:rsidR="001939AD" w:rsidRPr="001939AD" w:rsidRDefault="001939AD" w:rsidP="00801EBE">
      <w:pPr>
        <w:pStyle w:val="ListParagraph"/>
        <w:numPr>
          <w:ilvl w:val="0"/>
          <w:numId w:val="3"/>
        </w:numPr>
        <w:contextualSpacing w:val="0"/>
        <w:rPr>
          <w:sz w:val="24"/>
          <w:szCs w:val="24"/>
        </w:rPr>
      </w:pPr>
      <w:r w:rsidRPr="001939AD">
        <w:rPr>
          <w:sz w:val="24"/>
          <w:szCs w:val="24"/>
        </w:rPr>
        <w:t xml:space="preserve">Review, respond and participate in various planning efforts in the San Diego River </w:t>
      </w:r>
      <w:proofErr w:type="gramStart"/>
      <w:r w:rsidRPr="001939AD">
        <w:rPr>
          <w:sz w:val="24"/>
          <w:szCs w:val="24"/>
        </w:rPr>
        <w:t>watershed</w:t>
      </w:r>
      <w:proofErr w:type="gramEnd"/>
    </w:p>
    <w:p w14:paraId="7FED1D74" w14:textId="77777777" w:rsidR="001939AD" w:rsidRPr="001939AD" w:rsidRDefault="001939AD" w:rsidP="00801EBE">
      <w:pPr>
        <w:pStyle w:val="ListParagraph"/>
        <w:numPr>
          <w:ilvl w:val="0"/>
          <w:numId w:val="3"/>
        </w:numPr>
        <w:contextualSpacing w:val="0"/>
        <w:rPr>
          <w:sz w:val="24"/>
          <w:szCs w:val="24"/>
        </w:rPr>
      </w:pPr>
      <w:r w:rsidRPr="001939AD">
        <w:rPr>
          <w:sz w:val="24"/>
          <w:szCs w:val="24"/>
        </w:rPr>
        <w:t xml:space="preserve">Support state priorities and approved plans that align with Conservancy purposes and </w:t>
      </w:r>
      <w:proofErr w:type="gramStart"/>
      <w:r w:rsidRPr="001939AD">
        <w:rPr>
          <w:sz w:val="24"/>
          <w:szCs w:val="24"/>
        </w:rPr>
        <w:t>mission</w:t>
      </w:r>
      <w:proofErr w:type="gramEnd"/>
    </w:p>
    <w:p w14:paraId="468FEB1E" w14:textId="77777777" w:rsidR="001939AD" w:rsidRPr="001939AD" w:rsidRDefault="001939AD" w:rsidP="00801EBE">
      <w:pPr>
        <w:pStyle w:val="ListParagraph"/>
        <w:numPr>
          <w:ilvl w:val="0"/>
          <w:numId w:val="3"/>
        </w:numPr>
        <w:contextualSpacing w:val="0"/>
        <w:rPr>
          <w:sz w:val="24"/>
          <w:szCs w:val="24"/>
        </w:rPr>
      </w:pPr>
      <w:r w:rsidRPr="001939AD">
        <w:rPr>
          <w:sz w:val="24"/>
          <w:szCs w:val="24"/>
        </w:rPr>
        <w:t xml:space="preserve">Provide Bond accountability updates to state departments and databases, reports, cash projections and other relevant information as </w:t>
      </w:r>
      <w:proofErr w:type="gramStart"/>
      <w:r w:rsidRPr="001939AD">
        <w:rPr>
          <w:sz w:val="24"/>
          <w:szCs w:val="24"/>
        </w:rPr>
        <w:t>requested</w:t>
      </w:r>
      <w:proofErr w:type="gramEnd"/>
    </w:p>
    <w:p w14:paraId="1A3BC108" w14:textId="77777777" w:rsidR="001939AD" w:rsidRPr="001939AD" w:rsidRDefault="001939AD" w:rsidP="00801EBE">
      <w:pPr>
        <w:pStyle w:val="ListParagraph"/>
        <w:numPr>
          <w:ilvl w:val="0"/>
          <w:numId w:val="3"/>
        </w:numPr>
        <w:contextualSpacing w:val="0"/>
        <w:rPr>
          <w:sz w:val="24"/>
          <w:szCs w:val="24"/>
        </w:rPr>
      </w:pPr>
      <w:r w:rsidRPr="001939AD">
        <w:rPr>
          <w:sz w:val="24"/>
          <w:szCs w:val="24"/>
        </w:rPr>
        <w:t xml:space="preserve">Leverage funds through grant </w:t>
      </w:r>
      <w:proofErr w:type="gramStart"/>
      <w:r w:rsidRPr="001939AD">
        <w:rPr>
          <w:sz w:val="24"/>
          <w:szCs w:val="24"/>
        </w:rPr>
        <w:t>agreements</w:t>
      </w:r>
      <w:proofErr w:type="gramEnd"/>
    </w:p>
    <w:p w14:paraId="01690F4D" w14:textId="77777777" w:rsidR="001939AD" w:rsidRPr="001939AD" w:rsidRDefault="001939AD" w:rsidP="00801EBE">
      <w:pPr>
        <w:pStyle w:val="ListParagraph"/>
        <w:numPr>
          <w:ilvl w:val="0"/>
          <w:numId w:val="3"/>
        </w:numPr>
        <w:contextualSpacing w:val="0"/>
        <w:rPr>
          <w:sz w:val="24"/>
          <w:szCs w:val="24"/>
        </w:rPr>
      </w:pPr>
      <w:r w:rsidRPr="001939AD">
        <w:rPr>
          <w:sz w:val="24"/>
          <w:szCs w:val="24"/>
        </w:rPr>
        <w:t xml:space="preserve">Prepare budgets, agreements, purchase documents, vendor payments, timesheets, accounting and various reports to other state </w:t>
      </w:r>
      <w:proofErr w:type="gramStart"/>
      <w:r w:rsidRPr="001939AD">
        <w:rPr>
          <w:sz w:val="24"/>
          <w:szCs w:val="24"/>
        </w:rPr>
        <w:t>agencies</w:t>
      </w:r>
      <w:proofErr w:type="gramEnd"/>
    </w:p>
    <w:p w14:paraId="367CA3B6" w14:textId="77777777" w:rsidR="001939AD" w:rsidRPr="001939AD" w:rsidRDefault="001939AD" w:rsidP="00801EBE">
      <w:pPr>
        <w:pStyle w:val="ListParagraph"/>
        <w:numPr>
          <w:ilvl w:val="0"/>
          <w:numId w:val="3"/>
        </w:numPr>
        <w:contextualSpacing w:val="0"/>
        <w:rPr>
          <w:sz w:val="24"/>
          <w:szCs w:val="24"/>
        </w:rPr>
      </w:pPr>
      <w:r w:rsidRPr="001939AD">
        <w:rPr>
          <w:sz w:val="24"/>
          <w:szCs w:val="24"/>
        </w:rPr>
        <w:t xml:space="preserve">Process bills, input purchase orders and pay invoices in the </w:t>
      </w:r>
      <w:proofErr w:type="spellStart"/>
      <w:r w:rsidRPr="001939AD">
        <w:rPr>
          <w:sz w:val="24"/>
          <w:szCs w:val="24"/>
        </w:rPr>
        <w:t>Fi$Cal</w:t>
      </w:r>
      <w:proofErr w:type="spellEnd"/>
      <w:r w:rsidRPr="001939AD">
        <w:rPr>
          <w:sz w:val="24"/>
          <w:szCs w:val="24"/>
        </w:rPr>
        <w:t xml:space="preserve"> </w:t>
      </w:r>
      <w:proofErr w:type="gramStart"/>
      <w:r w:rsidRPr="001939AD">
        <w:rPr>
          <w:sz w:val="24"/>
          <w:szCs w:val="24"/>
        </w:rPr>
        <w:t>system</w:t>
      </w:r>
      <w:proofErr w:type="gramEnd"/>
    </w:p>
    <w:p w14:paraId="66A1536F" w14:textId="77777777" w:rsidR="001939AD" w:rsidRPr="001939AD" w:rsidRDefault="001939AD" w:rsidP="00801EBE">
      <w:pPr>
        <w:pStyle w:val="ListParagraph"/>
        <w:numPr>
          <w:ilvl w:val="0"/>
          <w:numId w:val="3"/>
        </w:numPr>
        <w:tabs>
          <w:tab w:val="left" w:pos="615"/>
          <w:tab w:val="left" w:pos="616"/>
        </w:tabs>
        <w:spacing w:before="2" w:line="235" w:lineRule="auto"/>
        <w:contextualSpacing w:val="0"/>
        <w:rPr>
          <w:sz w:val="24"/>
          <w:szCs w:val="24"/>
        </w:rPr>
      </w:pPr>
      <w:r w:rsidRPr="001939AD">
        <w:rPr>
          <w:sz w:val="24"/>
          <w:szCs w:val="24"/>
        </w:rPr>
        <w:t xml:space="preserve"> The Conservancy contracts out its accounting, </w:t>
      </w:r>
      <w:proofErr w:type="gramStart"/>
      <w:r w:rsidRPr="001939AD">
        <w:rPr>
          <w:sz w:val="24"/>
          <w:szCs w:val="24"/>
        </w:rPr>
        <w:t>budget</w:t>
      </w:r>
      <w:proofErr w:type="gramEnd"/>
      <w:r w:rsidRPr="001939AD">
        <w:rPr>
          <w:sz w:val="24"/>
          <w:szCs w:val="24"/>
        </w:rPr>
        <w:t xml:space="preserve"> and human resources services to the Department of General Services - Office of Fiscal Services, Contracted Fiscal Services and Office of Human Resources.</w:t>
      </w:r>
    </w:p>
    <w:sectPr w:rsidR="001939AD" w:rsidRPr="001939A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F08A81" w14:textId="77777777" w:rsidR="00793898" w:rsidRDefault="00793898" w:rsidP="001939AD">
      <w:r>
        <w:separator/>
      </w:r>
    </w:p>
  </w:endnote>
  <w:endnote w:type="continuationSeparator" w:id="0">
    <w:p w14:paraId="20778B1E" w14:textId="77777777" w:rsidR="00793898" w:rsidRDefault="00793898" w:rsidP="00193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61D09B" w14:textId="77777777" w:rsidR="00793898" w:rsidRDefault="00793898" w:rsidP="001939AD">
      <w:r>
        <w:separator/>
      </w:r>
    </w:p>
  </w:footnote>
  <w:footnote w:type="continuationSeparator" w:id="0">
    <w:p w14:paraId="64F4E6CB" w14:textId="77777777" w:rsidR="00793898" w:rsidRDefault="00793898" w:rsidP="00193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5944AF" w14:textId="23FBF62D" w:rsidR="001939AD" w:rsidRDefault="001939AD" w:rsidP="001939AD">
    <w:pPr>
      <w:pStyle w:val="Header"/>
      <w:tabs>
        <w:tab w:val="clear" w:pos="9360"/>
        <w:tab w:val="left" w:pos="7185"/>
      </w:tabs>
      <w:spacing w:before="360" w:after="240"/>
      <w:rPr>
        <w:b/>
        <w:bCs/>
        <w:sz w:val="32"/>
        <w:szCs w:val="32"/>
      </w:rPr>
    </w:pPr>
    <w:r>
      <w:rPr>
        <w:noProof/>
      </w:rPr>
      <mc:AlternateContent>
        <mc:Choice Requires="wpg">
          <w:drawing>
            <wp:anchor distT="0" distB="0" distL="114300" distR="114300" simplePos="0" relativeHeight="251661312" behindDoc="1" locked="0" layoutInCell="1" allowOverlap="1" wp14:anchorId="4FF170B4" wp14:editId="79C45CBB">
              <wp:simplePos x="0" y="0"/>
              <wp:positionH relativeFrom="page">
                <wp:posOffset>819150</wp:posOffset>
              </wp:positionH>
              <wp:positionV relativeFrom="page">
                <wp:posOffset>978535</wp:posOffset>
              </wp:positionV>
              <wp:extent cx="6113145" cy="97790"/>
              <wp:effectExtent l="0" t="0" r="40005" b="35560"/>
              <wp:wrapNone/>
              <wp:docPr id="66" name="docshapegroup5" descr="Green and Blue Line Under San Diego River Conservancy 2024 Work Pla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3145" cy="97790"/>
                        <a:chOff x="1161" y="1357"/>
                        <a:chExt cx="9627" cy="154"/>
                      </a:xfrm>
                    </wpg:grpSpPr>
                    <wps:wsp>
                      <wps:cNvPr id="67" name="docshape6"/>
                      <wps:cNvSpPr>
                        <a:spLocks noChangeArrowheads="1"/>
                      </wps:cNvSpPr>
                      <wps:spPr bwMode="auto">
                        <a:xfrm>
                          <a:off x="1176" y="1357"/>
                          <a:ext cx="9612" cy="91"/>
                        </a:xfrm>
                        <a:prstGeom prst="rect">
                          <a:avLst/>
                        </a:prstGeom>
                        <a:solidFill>
                          <a:srgbClr val="5382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6"/>
                      <wps:cNvCnPr>
                        <a:cxnSpLocks noChangeShapeType="1"/>
                      </wps:cNvCnPr>
                      <wps:spPr bwMode="auto">
                        <a:xfrm>
                          <a:off x="1161" y="1511"/>
                          <a:ext cx="9619" cy="0"/>
                        </a:xfrm>
                        <a:prstGeom prst="line">
                          <a:avLst/>
                        </a:prstGeom>
                        <a:noFill/>
                        <a:ln w="57150">
                          <a:solidFill>
                            <a:srgbClr val="2E5496"/>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291D86" id="docshapegroup5" o:spid="_x0000_s1026" alt="Green and Blue Line Under San Diego River Conservancy 2024 Work Plan" style="position:absolute;margin-left:64.5pt;margin-top:77.05pt;width:481.35pt;height:7.7pt;z-index:-251655168;mso-position-horizontal-relative:page;mso-position-vertical-relative:page" coordorigin="1161,1357" coordsize="9627,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">
              <v:rect id="docshape6" o:spid="_x0000_s1027" style="position:absolute;left:1176;top:1357;width:9612;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" fillcolor="#538235" stroked="f"/>
              <v:line id="Line 6" o:spid="_x0000_s1028" style="position:absolute;visibility:visible;mso-wrap-style:square" from="1161,1511" to="10780,1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" strokecolor="#2e5496" strokeweight="4.5pt"/>
              <w10:wrap anchorx="page" anchory="page"/>
            </v:group>
          </w:pict>
        </mc:Fallback>
      </mc:AlternateContent>
    </w:r>
    <w:r>
      <w:rPr>
        <w:noProof/>
      </w:rPr>
      <w:drawing>
        <wp:anchor distT="0" distB="0" distL="0" distR="0" simplePos="0" relativeHeight="251659264" behindDoc="1" locked="0" layoutInCell="1" allowOverlap="1" wp14:anchorId="122B611D" wp14:editId="1A703219">
          <wp:simplePos x="0" y="0"/>
          <wp:positionH relativeFrom="page">
            <wp:posOffset>5953125</wp:posOffset>
          </wp:positionH>
          <wp:positionV relativeFrom="page">
            <wp:posOffset>276225</wp:posOffset>
          </wp:positionV>
          <wp:extent cx="659130" cy="638810"/>
          <wp:effectExtent l="0" t="0" r="7620" b="8890"/>
          <wp:wrapNone/>
          <wp:docPr id="1" name="image1.jpeg" descr="San Diego River Conserva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San Diego River Conservancy Logo"/>
                  <pic:cNvPicPr/>
                </pic:nvPicPr>
                <pic:blipFill>
                  <a:blip r:embed="rId1" cstate="print"/>
                  <a:stretch>
                    <a:fillRect/>
                  </a:stretch>
                </pic:blipFill>
                <pic:spPr>
                  <a:xfrm>
                    <a:off x="0" y="0"/>
                    <a:ext cx="659130" cy="638810"/>
                  </a:xfrm>
                  <a:prstGeom prst="rect">
                    <a:avLst/>
                  </a:prstGeom>
                </pic:spPr>
              </pic:pic>
            </a:graphicData>
          </a:graphic>
        </wp:anchor>
      </w:drawing>
    </w:r>
    <w:r w:rsidRPr="001939AD">
      <w:rPr>
        <w:b/>
        <w:bCs/>
        <w:sz w:val="32"/>
        <w:szCs w:val="32"/>
      </w:rPr>
      <w:t>San Diego River Conservancy Work Plan</w:t>
    </w:r>
    <w:r w:rsidR="004A6CD3">
      <w:rPr>
        <w:b/>
        <w:bCs/>
        <w:sz w:val="32"/>
        <w:szCs w:val="32"/>
      </w:rPr>
      <w:t xml:space="preserve">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8B5793"/>
    <w:multiLevelType w:val="hybridMultilevel"/>
    <w:tmpl w:val="BBA2E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6C44E7"/>
    <w:multiLevelType w:val="hybridMultilevel"/>
    <w:tmpl w:val="32289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092D9A"/>
    <w:multiLevelType w:val="hybridMultilevel"/>
    <w:tmpl w:val="9A3C9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1B002E"/>
    <w:multiLevelType w:val="hybridMultilevel"/>
    <w:tmpl w:val="26726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9197396">
    <w:abstractNumId w:val="2"/>
  </w:num>
  <w:num w:numId="2" w16cid:durableId="706829625">
    <w:abstractNumId w:val="3"/>
  </w:num>
  <w:num w:numId="3" w16cid:durableId="353310838">
    <w:abstractNumId w:val="0"/>
  </w:num>
  <w:num w:numId="4" w16cid:durableId="5676950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9AD"/>
    <w:rsid w:val="001939AD"/>
    <w:rsid w:val="001B0C6A"/>
    <w:rsid w:val="00274E32"/>
    <w:rsid w:val="004A6CD3"/>
    <w:rsid w:val="005903D0"/>
    <w:rsid w:val="00793898"/>
    <w:rsid w:val="007939F7"/>
    <w:rsid w:val="00801EBE"/>
    <w:rsid w:val="00977A9E"/>
    <w:rsid w:val="00996850"/>
    <w:rsid w:val="00A82228"/>
    <w:rsid w:val="00D5056C"/>
    <w:rsid w:val="00DA6AB6"/>
    <w:rsid w:val="00E24E55"/>
    <w:rsid w:val="00E364A2"/>
    <w:rsid w:val="00F26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927A5"/>
  <w15:chartTrackingRefBased/>
  <w15:docId w15:val="{B9EF8AD6-03F4-4759-823C-8D1608831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9AD"/>
    <w:pPr>
      <w:widowControl w:val="0"/>
      <w:autoSpaceDE w:val="0"/>
      <w:autoSpaceDN w:val="0"/>
      <w:spacing w:after="0" w:line="240" w:lineRule="auto"/>
    </w:pPr>
    <w:rPr>
      <w:rFonts w:ascii="Arial" w:eastAsia="Arial" w:hAnsi="Arial" w:cs="Arial"/>
      <w:kern w:val="0"/>
      <w14:ligatures w14:val="none"/>
    </w:rPr>
  </w:style>
  <w:style w:type="paragraph" w:styleId="Heading1">
    <w:name w:val="heading 1"/>
    <w:basedOn w:val="Normal"/>
    <w:next w:val="Normal"/>
    <w:link w:val="Heading1Char"/>
    <w:uiPriority w:val="9"/>
    <w:qFormat/>
    <w:rsid w:val="001939AD"/>
    <w:pPr>
      <w:keepNext/>
      <w:keepLines/>
      <w:spacing w:before="360" w:after="80"/>
      <w:outlineLvl w:val="0"/>
    </w:pPr>
    <w:rPr>
      <w:rFonts w:eastAsiaTheme="majorEastAsia" w:cstheme="majorBidi"/>
      <w:b/>
      <w:sz w:val="32"/>
      <w:szCs w:val="40"/>
    </w:rPr>
  </w:style>
  <w:style w:type="paragraph" w:styleId="Heading2">
    <w:name w:val="heading 2"/>
    <w:basedOn w:val="Normal"/>
    <w:next w:val="Normal"/>
    <w:link w:val="Heading2Char"/>
    <w:uiPriority w:val="9"/>
    <w:unhideWhenUsed/>
    <w:qFormat/>
    <w:rsid w:val="001939AD"/>
    <w:pPr>
      <w:keepNext/>
      <w:keepLines/>
      <w:spacing w:before="160" w:after="80"/>
      <w:outlineLvl w:val="1"/>
    </w:pPr>
    <w:rPr>
      <w:rFonts w:eastAsiaTheme="majorEastAsia" w:cstheme="majorBidi"/>
      <w:b/>
      <w:sz w:val="24"/>
      <w:szCs w:val="32"/>
    </w:rPr>
  </w:style>
  <w:style w:type="paragraph" w:styleId="Heading3">
    <w:name w:val="heading 3"/>
    <w:basedOn w:val="Normal"/>
    <w:next w:val="Normal"/>
    <w:link w:val="Heading3Char"/>
    <w:uiPriority w:val="9"/>
    <w:unhideWhenUsed/>
    <w:qFormat/>
    <w:rsid w:val="001939AD"/>
    <w:pPr>
      <w:keepNext/>
      <w:keepLines/>
      <w:spacing w:before="160" w:after="80"/>
      <w:outlineLvl w:val="2"/>
    </w:pPr>
    <w:rPr>
      <w:rFonts w:eastAsiaTheme="majorEastAsia" w:cstheme="majorBidi"/>
      <w:b/>
      <w:sz w:val="24"/>
      <w:szCs w:val="28"/>
    </w:rPr>
  </w:style>
  <w:style w:type="paragraph" w:styleId="Heading4">
    <w:name w:val="heading 4"/>
    <w:basedOn w:val="Normal"/>
    <w:next w:val="Normal"/>
    <w:link w:val="Heading4Char"/>
    <w:uiPriority w:val="9"/>
    <w:unhideWhenUsed/>
    <w:qFormat/>
    <w:rsid w:val="001939AD"/>
    <w:pPr>
      <w:keepNext/>
      <w:keepLines/>
      <w:spacing w:before="80" w:after="40"/>
      <w:outlineLvl w:val="3"/>
    </w:pPr>
    <w:rPr>
      <w:rFonts w:eastAsiaTheme="majorEastAsia" w:cstheme="majorBidi"/>
      <w:b/>
      <w:i/>
      <w:iCs/>
      <w:sz w:val="24"/>
    </w:rPr>
  </w:style>
  <w:style w:type="paragraph" w:styleId="Heading5">
    <w:name w:val="heading 5"/>
    <w:basedOn w:val="Normal"/>
    <w:next w:val="Normal"/>
    <w:link w:val="Heading5Char"/>
    <w:uiPriority w:val="9"/>
    <w:semiHidden/>
    <w:unhideWhenUsed/>
    <w:qFormat/>
    <w:rsid w:val="001939A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939A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939A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939A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939A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39AD"/>
    <w:rPr>
      <w:rFonts w:ascii="Arial" w:eastAsiaTheme="majorEastAsia" w:hAnsi="Arial" w:cstheme="majorBidi"/>
      <w:b/>
      <w:kern w:val="0"/>
      <w:sz w:val="32"/>
      <w:szCs w:val="40"/>
      <w14:ligatures w14:val="none"/>
    </w:rPr>
  </w:style>
  <w:style w:type="character" w:customStyle="1" w:styleId="Heading2Char">
    <w:name w:val="Heading 2 Char"/>
    <w:basedOn w:val="DefaultParagraphFont"/>
    <w:link w:val="Heading2"/>
    <w:uiPriority w:val="9"/>
    <w:rsid w:val="001939AD"/>
    <w:rPr>
      <w:rFonts w:ascii="Arial" w:eastAsiaTheme="majorEastAsia" w:hAnsi="Arial" w:cstheme="majorBidi"/>
      <w:b/>
      <w:kern w:val="0"/>
      <w:sz w:val="24"/>
      <w:szCs w:val="32"/>
      <w14:ligatures w14:val="none"/>
    </w:rPr>
  </w:style>
  <w:style w:type="character" w:customStyle="1" w:styleId="Heading3Char">
    <w:name w:val="Heading 3 Char"/>
    <w:basedOn w:val="DefaultParagraphFont"/>
    <w:link w:val="Heading3"/>
    <w:uiPriority w:val="9"/>
    <w:rsid w:val="001939AD"/>
    <w:rPr>
      <w:rFonts w:ascii="Arial" w:eastAsiaTheme="majorEastAsia" w:hAnsi="Arial" w:cstheme="majorBidi"/>
      <w:b/>
      <w:kern w:val="0"/>
      <w:sz w:val="24"/>
      <w:szCs w:val="28"/>
      <w14:ligatures w14:val="none"/>
    </w:rPr>
  </w:style>
  <w:style w:type="character" w:customStyle="1" w:styleId="Heading4Char">
    <w:name w:val="Heading 4 Char"/>
    <w:basedOn w:val="DefaultParagraphFont"/>
    <w:link w:val="Heading4"/>
    <w:uiPriority w:val="9"/>
    <w:rsid w:val="001939AD"/>
    <w:rPr>
      <w:rFonts w:ascii="Arial" w:eastAsiaTheme="majorEastAsia" w:hAnsi="Arial" w:cstheme="majorBidi"/>
      <w:b/>
      <w:i/>
      <w:iCs/>
      <w:kern w:val="0"/>
      <w:sz w:val="24"/>
      <w14:ligatures w14:val="none"/>
    </w:rPr>
  </w:style>
  <w:style w:type="character" w:customStyle="1" w:styleId="Heading5Char">
    <w:name w:val="Heading 5 Char"/>
    <w:basedOn w:val="DefaultParagraphFont"/>
    <w:link w:val="Heading5"/>
    <w:uiPriority w:val="9"/>
    <w:semiHidden/>
    <w:rsid w:val="001939A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939A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939A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939A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939AD"/>
    <w:rPr>
      <w:rFonts w:eastAsiaTheme="majorEastAsia" w:cstheme="majorBidi"/>
      <w:color w:val="272727" w:themeColor="text1" w:themeTint="D8"/>
    </w:rPr>
  </w:style>
  <w:style w:type="paragraph" w:styleId="Title">
    <w:name w:val="Title"/>
    <w:basedOn w:val="Normal"/>
    <w:next w:val="Normal"/>
    <w:link w:val="TitleChar"/>
    <w:uiPriority w:val="10"/>
    <w:qFormat/>
    <w:rsid w:val="001939A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39A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939A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939A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939AD"/>
    <w:pPr>
      <w:spacing w:before="160"/>
      <w:jc w:val="center"/>
    </w:pPr>
    <w:rPr>
      <w:i/>
      <w:iCs/>
      <w:color w:val="404040" w:themeColor="text1" w:themeTint="BF"/>
    </w:rPr>
  </w:style>
  <w:style w:type="character" w:customStyle="1" w:styleId="QuoteChar">
    <w:name w:val="Quote Char"/>
    <w:basedOn w:val="DefaultParagraphFont"/>
    <w:link w:val="Quote"/>
    <w:uiPriority w:val="29"/>
    <w:rsid w:val="001939AD"/>
    <w:rPr>
      <w:i/>
      <w:iCs/>
      <w:color w:val="404040" w:themeColor="text1" w:themeTint="BF"/>
    </w:rPr>
  </w:style>
  <w:style w:type="paragraph" w:styleId="ListParagraph">
    <w:name w:val="List Paragraph"/>
    <w:basedOn w:val="Normal"/>
    <w:link w:val="ListParagraphChar"/>
    <w:uiPriority w:val="34"/>
    <w:qFormat/>
    <w:rsid w:val="001939AD"/>
    <w:pPr>
      <w:ind w:left="720"/>
      <w:contextualSpacing/>
    </w:pPr>
  </w:style>
  <w:style w:type="character" w:styleId="IntenseEmphasis">
    <w:name w:val="Intense Emphasis"/>
    <w:basedOn w:val="DefaultParagraphFont"/>
    <w:uiPriority w:val="21"/>
    <w:qFormat/>
    <w:rsid w:val="001939AD"/>
    <w:rPr>
      <w:i/>
      <w:iCs/>
      <w:color w:val="0F4761" w:themeColor="accent1" w:themeShade="BF"/>
    </w:rPr>
  </w:style>
  <w:style w:type="paragraph" w:styleId="IntenseQuote">
    <w:name w:val="Intense Quote"/>
    <w:basedOn w:val="Normal"/>
    <w:next w:val="Normal"/>
    <w:link w:val="IntenseQuoteChar"/>
    <w:uiPriority w:val="30"/>
    <w:qFormat/>
    <w:rsid w:val="001939A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939AD"/>
    <w:rPr>
      <w:i/>
      <w:iCs/>
      <w:color w:val="0F4761" w:themeColor="accent1" w:themeShade="BF"/>
    </w:rPr>
  </w:style>
  <w:style w:type="character" w:styleId="IntenseReference">
    <w:name w:val="Intense Reference"/>
    <w:basedOn w:val="DefaultParagraphFont"/>
    <w:uiPriority w:val="32"/>
    <w:qFormat/>
    <w:rsid w:val="001939AD"/>
    <w:rPr>
      <w:b/>
      <w:bCs/>
      <w:smallCaps/>
      <w:color w:val="0F4761" w:themeColor="accent1" w:themeShade="BF"/>
      <w:spacing w:val="5"/>
    </w:rPr>
  </w:style>
  <w:style w:type="paragraph" w:styleId="Header">
    <w:name w:val="header"/>
    <w:basedOn w:val="Normal"/>
    <w:link w:val="HeaderChar"/>
    <w:uiPriority w:val="99"/>
    <w:unhideWhenUsed/>
    <w:rsid w:val="001939AD"/>
    <w:pPr>
      <w:tabs>
        <w:tab w:val="center" w:pos="4680"/>
        <w:tab w:val="right" w:pos="9360"/>
      </w:tabs>
    </w:pPr>
  </w:style>
  <w:style w:type="character" w:customStyle="1" w:styleId="HeaderChar">
    <w:name w:val="Header Char"/>
    <w:basedOn w:val="DefaultParagraphFont"/>
    <w:link w:val="Header"/>
    <w:uiPriority w:val="99"/>
    <w:rsid w:val="001939AD"/>
  </w:style>
  <w:style w:type="paragraph" w:styleId="Footer">
    <w:name w:val="footer"/>
    <w:basedOn w:val="Normal"/>
    <w:link w:val="FooterChar"/>
    <w:uiPriority w:val="99"/>
    <w:unhideWhenUsed/>
    <w:rsid w:val="001939AD"/>
    <w:pPr>
      <w:tabs>
        <w:tab w:val="center" w:pos="4680"/>
        <w:tab w:val="right" w:pos="9360"/>
      </w:tabs>
    </w:pPr>
  </w:style>
  <w:style w:type="character" w:customStyle="1" w:styleId="FooterChar">
    <w:name w:val="Footer Char"/>
    <w:basedOn w:val="DefaultParagraphFont"/>
    <w:link w:val="Footer"/>
    <w:uiPriority w:val="99"/>
    <w:rsid w:val="001939AD"/>
  </w:style>
  <w:style w:type="paragraph" w:styleId="BodyText">
    <w:name w:val="Body Text"/>
    <w:basedOn w:val="Normal"/>
    <w:link w:val="BodyTextChar"/>
    <w:uiPriority w:val="1"/>
    <w:qFormat/>
    <w:rsid w:val="001939AD"/>
    <w:rPr>
      <w:sz w:val="24"/>
      <w:szCs w:val="24"/>
    </w:rPr>
  </w:style>
  <w:style w:type="character" w:customStyle="1" w:styleId="BodyTextChar">
    <w:name w:val="Body Text Char"/>
    <w:basedOn w:val="DefaultParagraphFont"/>
    <w:link w:val="BodyText"/>
    <w:uiPriority w:val="1"/>
    <w:rsid w:val="001939AD"/>
    <w:rPr>
      <w:rFonts w:ascii="Arial" w:eastAsia="Arial" w:hAnsi="Arial" w:cs="Arial"/>
      <w:kern w:val="0"/>
      <w:sz w:val="24"/>
      <w:szCs w:val="24"/>
      <w14:ligatures w14:val="none"/>
    </w:rPr>
  </w:style>
  <w:style w:type="paragraph" w:customStyle="1" w:styleId="TableParagraph">
    <w:name w:val="Table Paragraph"/>
    <w:basedOn w:val="Normal"/>
    <w:uiPriority w:val="1"/>
    <w:qFormat/>
    <w:rsid w:val="001939AD"/>
    <w:pPr>
      <w:spacing w:before="2"/>
      <w:ind w:left="105"/>
    </w:pPr>
  </w:style>
  <w:style w:type="character" w:customStyle="1" w:styleId="ListParagraphChar">
    <w:name w:val="List Paragraph Char"/>
    <w:basedOn w:val="DefaultParagraphFont"/>
    <w:link w:val="ListParagraph"/>
    <w:uiPriority w:val="34"/>
    <w:locked/>
    <w:rsid w:val="001939AD"/>
  </w:style>
  <w:style w:type="paragraph" w:customStyle="1" w:styleId="Default">
    <w:name w:val="Default"/>
    <w:rsid w:val="001939AD"/>
    <w:pPr>
      <w:autoSpaceDE w:val="0"/>
      <w:autoSpaceDN w:val="0"/>
      <w:adjustRightInd w:val="0"/>
      <w:spacing w:after="0" w:line="240" w:lineRule="auto"/>
    </w:pPr>
    <w:rPr>
      <w:rFonts w:ascii="Arial Narrow" w:hAnsi="Arial Narrow" w:cs="Arial Narrow"/>
      <w:color w:val="000000"/>
      <w:kern w:val="0"/>
      <w:sz w:val="24"/>
      <w:szCs w:val="24"/>
      <w14:ligatures w14:val="none"/>
    </w:rPr>
  </w:style>
  <w:style w:type="table" w:styleId="TableGrid">
    <w:name w:val="Table Grid"/>
    <w:basedOn w:val="TableNormal"/>
    <w:uiPriority w:val="39"/>
    <w:rsid w:val="001939AD"/>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1955</Words>
  <Characters>11149</Characters>
  <Application>Microsoft Office Word</Application>
  <DocSecurity>0</DocSecurity>
  <Lines>92</Lines>
  <Paragraphs>26</Paragraphs>
  <ScaleCrop>false</ScaleCrop>
  <Company/>
  <LinksUpToDate>false</LinksUpToDate>
  <CharactersWithSpaces>13078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Dustin@SDRC</dc:creator>
  <cp:keywords/>
  <dc:description/>
  <cp:lastModifiedBy>Harrison, Dustin@SDRC</cp:lastModifiedBy>
  <cp:revision>4</cp:revision>
  <dcterms:created xsi:type="dcterms:W3CDTF">2024-05-09T22:02:00Z</dcterms:created>
  <dcterms:modified xsi:type="dcterms:W3CDTF">2024-05-10T17:15:00Z</dcterms:modified>
</cp:coreProperties>
</file>